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5D410" w14:textId="0460E9FA" w:rsidR="00EB7667" w:rsidRPr="00C0339B" w:rsidRDefault="00EB7667" w:rsidP="002D70FC">
      <w:pPr>
        <w:pStyle w:val="VAst"/>
        <w:numPr>
          <w:ilvl w:val="0"/>
          <w:numId w:val="0"/>
        </w:numPr>
        <w:ind w:left="720"/>
        <w:rPr>
          <w:rFonts w:ascii="Calibri" w:hAnsi="Calibri"/>
          <w:b/>
          <w:color w:val="365F91" w:themeColor="accent1" w:themeShade="BF"/>
          <w:u w:val="none"/>
        </w:rPr>
      </w:pPr>
      <w:r w:rsidRPr="00C0339B">
        <w:rPr>
          <w:rFonts w:ascii="Calibri" w:hAnsi="Calibri"/>
          <w:b/>
          <w:color w:val="365F91" w:themeColor="accent1" w:themeShade="BF"/>
          <w:u w:val="none"/>
        </w:rPr>
        <w:t>INFORMATION ON THE PROCESSING OF PERSONAL DATA OF VISITORS TO SPORTS, CULTURAL EVENTS, SOCIAL EVENTS AND OTHER EVENTS (PUBLIC)</w:t>
      </w:r>
    </w:p>
    <w:p w14:paraId="34A3BFC1" w14:textId="77777777" w:rsidR="00EB7667" w:rsidRPr="00C0339B" w:rsidRDefault="00EB7667" w:rsidP="002D70FC">
      <w:pPr>
        <w:jc w:val="center"/>
        <w:rPr>
          <w:rFonts w:ascii="Calibri" w:hAnsi="Calibri"/>
          <w:b/>
          <w:color w:val="365F91" w:themeColor="accent1" w:themeShade="BF"/>
        </w:rPr>
      </w:pPr>
    </w:p>
    <w:tbl>
      <w:tblPr>
        <w:tblStyle w:val="TableGrid"/>
        <w:tblW w:w="15850" w:type="dxa"/>
        <w:tblLook w:val="04A0" w:firstRow="1" w:lastRow="0" w:firstColumn="1" w:lastColumn="0" w:noHBand="0" w:noVBand="1"/>
      </w:tblPr>
      <w:tblGrid>
        <w:gridCol w:w="1463"/>
        <w:gridCol w:w="2189"/>
        <w:gridCol w:w="2410"/>
        <w:gridCol w:w="2551"/>
        <w:gridCol w:w="2268"/>
        <w:gridCol w:w="1418"/>
        <w:gridCol w:w="1984"/>
        <w:gridCol w:w="1567"/>
      </w:tblGrid>
      <w:tr w:rsidR="00963F6B" w:rsidRPr="00C0339B" w14:paraId="50825EE5" w14:textId="77777777" w:rsidTr="00D37419">
        <w:trPr>
          <w:cantSplit/>
          <w:trHeight w:val="57"/>
          <w:tblHeader/>
        </w:trPr>
        <w:tc>
          <w:tcPr>
            <w:tcW w:w="1463" w:type="dxa"/>
            <w:shd w:val="clear" w:color="auto" w:fill="DBE5F1"/>
            <w:vAlign w:val="center"/>
            <w:hideMark/>
          </w:tcPr>
          <w:p w14:paraId="215B160E"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Agenda</w:t>
            </w:r>
          </w:p>
        </w:tc>
        <w:tc>
          <w:tcPr>
            <w:tcW w:w="2189" w:type="dxa"/>
            <w:shd w:val="clear" w:color="auto" w:fill="DBE5F1"/>
            <w:noWrap/>
            <w:vAlign w:val="center"/>
            <w:hideMark/>
          </w:tcPr>
          <w:p w14:paraId="3E69CA43"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Purpose of processing</w:t>
            </w:r>
          </w:p>
        </w:tc>
        <w:tc>
          <w:tcPr>
            <w:tcW w:w="2410" w:type="dxa"/>
            <w:shd w:val="clear" w:color="auto" w:fill="DBE5F1"/>
            <w:noWrap/>
            <w:vAlign w:val="center"/>
            <w:hideMark/>
          </w:tcPr>
          <w:p w14:paraId="7B814880"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Personal data category</w:t>
            </w:r>
          </w:p>
        </w:tc>
        <w:tc>
          <w:tcPr>
            <w:tcW w:w="2551" w:type="dxa"/>
            <w:shd w:val="clear" w:color="auto" w:fill="DBE5F1"/>
            <w:vAlign w:val="center"/>
            <w:hideMark/>
          </w:tcPr>
          <w:p w14:paraId="29C74060"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Legal grounds</w:t>
            </w:r>
          </w:p>
        </w:tc>
        <w:tc>
          <w:tcPr>
            <w:tcW w:w="2268" w:type="dxa"/>
            <w:shd w:val="clear" w:color="auto" w:fill="DBE5F1"/>
            <w:noWrap/>
            <w:vAlign w:val="center"/>
            <w:hideMark/>
          </w:tcPr>
          <w:p w14:paraId="5BFD6FAD"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Specification</w:t>
            </w:r>
          </w:p>
        </w:tc>
        <w:tc>
          <w:tcPr>
            <w:tcW w:w="1418" w:type="dxa"/>
            <w:shd w:val="clear" w:color="auto" w:fill="DBE5F1"/>
            <w:noWrap/>
            <w:vAlign w:val="center"/>
            <w:hideMark/>
          </w:tcPr>
          <w:p w14:paraId="24B220A8"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Personal data source</w:t>
            </w:r>
          </w:p>
        </w:tc>
        <w:tc>
          <w:tcPr>
            <w:tcW w:w="1984" w:type="dxa"/>
            <w:shd w:val="clear" w:color="auto" w:fill="DBE5F1"/>
            <w:noWrap/>
            <w:vAlign w:val="center"/>
            <w:hideMark/>
          </w:tcPr>
          <w:p w14:paraId="609B9A95"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Retention period and erasure time limit</w:t>
            </w:r>
          </w:p>
        </w:tc>
        <w:tc>
          <w:tcPr>
            <w:tcW w:w="1567" w:type="dxa"/>
            <w:shd w:val="clear" w:color="auto" w:fill="DBE5F1"/>
            <w:noWrap/>
            <w:vAlign w:val="center"/>
            <w:hideMark/>
          </w:tcPr>
          <w:p w14:paraId="4C861FE4" w14:textId="77777777" w:rsidR="00963F6B" w:rsidRPr="00C0339B" w:rsidRDefault="00963F6B" w:rsidP="00963F6B">
            <w:pPr>
              <w:pStyle w:val="VAtabzahlavi"/>
              <w:jc w:val="left"/>
              <w:rPr>
                <w:rFonts w:ascii="Calibri" w:hAnsi="Calibri"/>
                <w:sz w:val="16"/>
                <w:szCs w:val="16"/>
              </w:rPr>
            </w:pPr>
            <w:r w:rsidRPr="00C0339B">
              <w:rPr>
                <w:rFonts w:ascii="Calibri" w:hAnsi="Calibri"/>
                <w:sz w:val="16"/>
              </w:rPr>
              <w:t>Data recipient categories</w:t>
            </w:r>
          </w:p>
        </w:tc>
      </w:tr>
      <w:tr w:rsidR="002C492D" w:rsidRPr="00C0339B" w14:paraId="2C11364B" w14:textId="77777777" w:rsidTr="00D37419">
        <w:trPr>
          <w:cantSplit/>
          <w:trHeight w:val="1134"/>
        </w:trPr>
        <w:tc>
          <w:tcPr>
            <w:tcW w:w="1463" w:type="dxa"/>
            <w:vAlign w:val="center"/>
          </w:tcPr>
          <w:p w14:paraId="347F54B4" w14:textId="3CE7EBFD" w:rsidR="002C492D" w:rsidRPr="00C0339B" w:rsidRDefault="002C492D" w:rsidP="002C492D">
            <w:pPr>
              <w:pStyle w:val="VAtabtext"/>
              <w:rPr>
                <w:rFonts w:ascii="Calibri" w:hAnsi="Calibri"/>
              </w:rPr>
            </w:pPr>
            <w:r w:rsidRPr="00C0339B">
              <w:rPr>
                <w:rFonts w:ascii="Calibri" w:hAnsi="Calibri"/>
              </w:rPr>
              <w:t>Correspondence</w:t>
            </w:r>
          </w:p>
        </w:tc>
        <w:tc>
          <w:tcPr>
            <w:tcW w:w="2189" w:type="dxa"/>
            <w:vAlign w:val="center"/>
          </w:tcPr>
          <w:p w14:paraId="13E14B3E" w14:textId="63CFC0AE" w:rsidR="002C492D" w:rsidRPr="00C0339B" w:rsidRDefault="002C492D" w:rsidP="002C492D">
            <w:pPr>
              <w:pStyle w:val="VAtabtext"/>
              <w:rPr>
                <w:rFonts w:ascii="Calibri" w:hAnsi="Calibri"/>
              </w:rPr>
            </w:pPr>
            <w:r w:rsidRPr="00C0339B">
              <w:rPr>
                <w:rFonts w:ascii="Calibri" w:hAnsi="Calibri"/>
              </w:rPr>
              <w:t>Received and sent mail</w:t>
            </w:r>
          </w:p>
        </w:tc>
        <w:tc>
          <w:tcPr>
            <w:tcW w:w="2410" w:type="dxa"/>
            <w:vAlign w:val="center"/>
          </w:tcPr>
          <w:p w14:paraId="451058CC" w14:textId="420FF16D" w:rsidR="002C492D" w:rsidRPr="00C0339B" w:rsidRDefault="002C492D" w:rsidP="002C492D">
            <w:pPr>
              <w:pStyle w:val="VAtabtext"/>
              <w:rPr>
                <w:rFonts w:ascii="Calibri" w:hAnsi="Calibri"/>
              </w:rPr>
            </w:pPr>
            <w:r w:rsidRPr="00C0339B">
              <w:rPr>
                <w:rFonts w:ascii="Calibri" w:hAnsi="Calibri"/>
              </w:rPr>
              <w:t>First name, surname, address, phone, e-mail, signature</w:t>
            </w:r>
          </w:p>
        </w:tc>
        <w:tc>
          <w:tcPr>
            <w:tcW w:w="2551" w:type="dxa"/>
            <w:vAlign w:val="center"/>
          </w:tcPr>
          <w:p w14:paraId="1F2B6AB2" w14:textId="390F49CC" w:rsidR="002C492D" w:rsidRPr="00C0339B" w:rsidRDefault="002C492D" w:rsidP="002C492D">
            <w:pPr>
              <w:pStyle w:val="VAtabtext"/>
              <w:rPr>
                <w:rFonts w:ascii="Calibri" w:hAnsi="Calibri"/>
              </w:rPr>
            </w:pPr>
            <w:r w:rsidRPr="00C0339B">
              <w:rPr>
                <w:rFonts w:ascii="Calibri" w:hAnsi="Calibri"/>
              </w:rPr>
              <w:t>f) protection of legitimate interests of the controller or other party over which the data subject’s interests in its privacy do not prevail</w:t>
            </w:r>
          </w:p>
        </w:tc>
        <w:tc>
          <w:tcPr>
            <w:tcW w:w="2268" w:type="dxa"/>
            <w:vAlign w:val="center"/>
          </w:tcPr>
          <w:p w14:paraId="5FA8E74F" w14:textId="756B923A" w:rsidR="002C492D" w:rsidRPr="00C0339B" w:rsidRDefault="002C492D" w:rsidP="002C492D">
            <w:pPr>
              <w:pStyle w:val="VAtabtext"/>
              <w:rPr>
                <w:rFonts w:ascii="Calibri" w:hAnsi="Calibri"/>
              </w:rPr>
            </w:pPr>
            <w:r w:rsidRPr="00C0339B">
              <w:rPr>
                <w:rFonts w:ascii="Calibri" w:hAnsi="Calibri"/>
              </w:rPr>
              <w:t>Specification, exercise or defence of legal claims</w:t>
            </w:r>
          </w:p>
        </w:tc>
        <w:tc>
          <w:tcPr>
            <w:tcW w:w="1418" w:type="dxa"/>
            <w:vAlign w:val="center"/>
          </w:tcPr>
          <w:p w14:paraId="6DBEA7D3" w14:textId="33420C67" w:rsidR="002C492D" w:rsidRPr="00C0339B" w:rsidRDefault="002C492D" w:rsidP="002C492D">
            <w:pPr>
              <w:pStyle w:val="VAtabtext"/>
              <w:rPr>
                <w:rFonts w:ascii="Calibri" w:hAnsi="Calibri"/>
              </w:rPr>
            </w:pPr>
            <w:r w:rsidRPr="00C0339B">
              <w:rPr>
                <w:rFonts w:ascii="Calibri" w:hAnsi="Calibri"/>
              </w:rPr>
              <w:t>Data subject</w:t>
            </w:r>
          </w:p>
        </w:tc>
        <w:tc>
          <w:tcPr>
            <w:tcW w:w="1984" w:type="dxa"/>
            <w:vAlign w:val="center"/>
          </w:tcPr>
          <w:p w14:paraId="46393998" w14:textId="1CD6878E" w:rsidR="002C492D" w:rsidRPr="00C0339B" w:rsidRDefault="002C492D" w:rsidP="002C492D">
            <w:pPr>
              <w:pStyle w:val="VAtabtext"/>
              <w:rPr>
                <w:rFonts w:ascii="Calibri" w:hAnsi="Calibri"/>
              </w:rPr>
            </w:pPr>
            <w:r w:rsidRPr="00C0339B">
              <w:rPr>
                <w:rFonts w:ascii="Calibri" w:hAnsi="Calibri"/>
              </w:rPr>
              <w:t>2 years</w:t>
            </w:r>
          </w:p>
        </w:tc>
        <w:tc>
          <w:tcPr>
            <w:tcW w:w="1567" w:type="dxa"/>
            <w:vAlign w:val="center"/>
          </w:tcPr>
          <w:p w14:paraId="1C636472" w14:textId="4505D478" w:rsidR="002C492D" w:rsidRPr="00C0339B" w:rsidRDefault="002C492D" w:rsidP="002C492D">
            <w:pPr>
              <w:pStyle w:val="VAtabtext"/>
              <w:rPr>
                <w:rFonts w:ascii="Calibri" w:hAnsi="Calibri"/>
              </w:rPr>
            </w:pPr>
            <w:r w:rsidRPr="00C0339B">
              <w:rPr>
                <w:rFonts w:ascii="Calibri" w:hAnsi="Calibri"/>
              </w:rPr>
              <w:t xml:space="preserve"> -</w:t>
            </w:r>
          </w:p>
        </w:tc>
      </w:tr>
      <w:tr w:rsidR="002C492D" w:rsidRPr="00C0339B" w14:paraId="11BE43E9" w14:textId="77777777" w:rsidTr="00D37419">
        <w:trPr>
          <w:cantSplit/>
          <w:trHeight w:val="1134"/>
        </w:trPr>
        <w:tc>
          <w:tcPr>
            <w:tcW w:w="1463" w:type="dxa"/>
            <w:vAlign w:val="center"/>
          </w:tcPr>
          <w:p w14:paraId="2B5C9CA9" w14:textId="359E76A2" w:rsidR="002C492D" w:rsidRPr="00C0339B" w:rsidRDefault="002C492D" w:rsidP="002C492D">
            <w:pPr>
              <w:pStyle w:val="VAtabtext"/>
              <w:rPr>
                <w:rFonts w:ascii="Calibri" w:hAnsi="Calibri"/>
              </w:rPr>
            </w:pPr>
            <w:r w:rsidRPr="00C0339B">
              <w:rPr>
                <w:rFonts w:ascii="Calibri" w:hAnsi="Calibri"/>
              </w:rPr>
              <w:t>Record management services</w:t>
            </w:r>
          </w:p>
        </w:tc>
        <w:tc>
          <w:tcPr>
            <w:tcW w:w="2189" w:type="dxa"/>
            <w:vAlign w:val="center"/>
          </w:tcPr>
          <w:p w14:paraId="1AF2C8D4" w14:textId="1965AF90" w:rsidR="002C492D" w:rsidRPr="00C0339B" w:rsidRDefault="002C492D" w:rsidP="002C492D">
            <w:pPr>
              <w:pStyle w:val="VAtabtext"/>
              <w:rPr>
                <w:rFonts w:ascii="Calibri" w:hAnsi="Calibri"/>
              </w:rPr>
            </w:pPr>
            <w:r w:rsidRPr="00C0339B">
              <w:rPr>
                <w:rFonts w:ascii="Calibri" w:hAnsi="Calibri"/>
              </w:rPr>
              <w:t>Performance of record management services</w:t>
            </w:r>
          </w:p>
        </w:tc>
        <w:tc>
          <w:tcPr>
            <w:tcW w:w="2410" w:type="dxa"/>
            <w:vAlign w:val="center"/>
          </w:tcPr>
          <w:p w14:paraId="6F0F20CA" w14:textId="24A1E17C" w:rsidR="002C492D" w:rsidRPr="00C0339B" w:rsidRDefault="002C492D" w:rsidP="002C492D">
            <w:pPr>
              <w:pStyle w:val="VAtabtext"/>
              <w:rPr>
                <w:rFonts w:ascii="Calibri" w:hAnsi="Calibri"/>
              </w:rPr>
            </w:pPr>
            <w:r w:rsidRPr="00C0339B">
              <w:rPr>
                <w:rFonts w:ascii="Calibri" w:hAnsi="Calibri"/>
              </w:rPr>
              <w:t>First name, surname, address, phone, e-mail, signature</w:t>
            </w:r>
          </w:p>
        </w:tc>
        <w:tc>
          <w:tcPr>
            <w:tcW w:w="2551" w:type="dxa"/>
            <w:vAlign w:val="center"/>
          </w:tcPr>
          <w:p w14:paraId="3269D2EE" w14:textId="40112F98" w:rsidR="002C492D" w:rsidRPr="00C0339B" w:rsidRDefault="002C492D" w:rsidP="002C492D">
            <w:pPr>
              <w:pStyle w:val="VAtabtext"/>
              <w:rPr>
                <w:rFonts w:ascii="Calibri" w:hAnsi="Calibri"/>
              </w:rPr>
            </w:pPr>
            <w:r w:rsidRPr="00C0339B">
              <w:rPr>
                <w:rFonts w:ascii="Calibri" w:hAnsi="Calibri"/>
              </w:rPr>
              <w:t>c) performance of the controller’s legal obligation</w:t>
            </w:r>
          </w:p>
        </w:tc>
        <w:tc>
          <w:tcPr>
            <w:tcW w:w="2268" w:type="dxa"/>
            <w:vAlign w:val="center"/>
          </w:tcPr>
          <w:p w14:paraId="20CDBD85" w14:textId="4C7C9320" w:rsidR="002C492D" w:rsidRPr="00C0339B" w:rsidRDefault="002C492D" w:rsidP="002C492D">
            <w:pPr>
              <w:pStyle w:val="VAtabtext"/>
              <w:rPr>
                <w:rFonts w:ascii="Calibri" w:hAnsi="Calibri"/>
              </w:rPr>
            </w:pPr>
            <w:r w:rsidRPr="00C0339B">
              <w:rPr>
                <w:rFonts w:ascii="Calibri" w:hAnsi="Calibri"/>
              </w:rPr>
              <w:t>Act No. 499/2004 Coll. on archiving and record management services</w:t>
            </w:r>
          </w:p>
        </w:tc>
        <w:tc>
          <w:tcPr>
            <w:tcW w:w="1418" w:type="dxa"/>
            <w:vAlign w:val="center"/>
          </w:tcPr>
          <w:p w14:paraId="0FEC4E9E" w14:textId="41DD8898" w:rsidR="002C492D" w:rsidRPr="00C0339B" w:rsidRDefault="002C492D" w:rsidP="002C492D">
            <w:pPr>
              <w:pStyle w:val="VAtabtext"/>
              <w:rPr>
                <w:rFonts w:ascii="Calibri" w:hAnsi="Calibri"/>
              </w:rPr>
            </w:pPr>
            <w:r w:rsidRPr="00C0339B">
              <w:rPr>
                <w:rFonts w:ascii="Calibri" w:hAnsi="Calibri"/>
              </w:rPr>
              <w:t>Data subject</w:t>
            </w:r>
          </w:p>
        </w:tc>
        <w:tc>
          <w:tcPr>
            <w:tcW w:w="1984" w:type="dxa"/>
            <w:vAlign w:val="center"/>
          </w:tcPr>
          <w:p w14:paraId="7790B8D2" w14:textId="7B9AA900" w:rsidR="002C492D" w:rsidRPr="00C0339B" w:rsidRDefault="002C492D" w:rsidP="002C492D">
            <w:pPr>
              <w:pStyle w:val="VAtabtext"/>
              <w:rPr>
                <w:rFonts w:ascii="Calibri" w:hAnsi="Calibri"/>
              </w:rPr>
            </w:pPr>
            <w:r w:rsidRPr="00C0339B">
              <w:rPr>
                <w:rFonts w:ascii="Calibri" w:hAnsi="Calibri"/>
              </w:rPr>
              <w:t>5-10 years according to the retention plan</w:t>
            </w:r>
          </w:p>
        </w:tc>
        <w:tc>
          <w:tcPr>
            <w:tcW w:w="1567" w:type="dxa"/>
            <w:vAlign w:val="center"/>
          </w:tcPr>
          <w:p w14:paraId="060F3DB0" w14:textId="2D1E635E" w:rsidR="002C492D" w:rsidRPr="00C0339B" w:rsidRDefault="002C492D" w:rsidP="002C492D">
            <w:pPr>
              <w:pStyle w:val="VAtabtext"/>
              <w:rPr>
                <w:rFonts w:ascii="Calibri" w:hAnsi="Calibri"/>
              </w:rPr>
            </w:pPr>
            <w:r w:rsidRPr="00C0339B">
              <w:rPr>
                <w:rFonts w:ascii="Calibri" w:hAnsi="Calibri"/>
              </w:rPr>
              <w:t xml:space="preserve"> -</w:t>
            </w:r>
          </w:p>
        </w:tc>
      </w:tr>
      <w:tr w:rsidR="002C492D" w:rsidRPr="00C0339B" w14:paraId="56634461" w14:textId="77777777" w:rsidTr="00D37419">
        <w:trPr>
          <w:cantSplit/>
          <w:trHeight w:val="1134"/>
        </w:trPr>
        <w:tc>
          <w:tcPr>
            <w:tcW w:w="1463" w:type="dxa"/>
            <w:vAlign w:val="center"/>
          </w:tcPr>
          <w:p w14:paraId="4B3FF33F" w14:textId="27EA7D50" w:rsidR="002C492D" w:rsidRPr="00C0339B" w:rsidRDefault="002C492D" w:rsidP="002C492D">
            <w:pPr>
              <w:pStyle w:val="VAtabtext"/>
              <w:rPr>
                <w:rFonts w:ascii="Calibri" w:hAnsi="Calibri"/>
              </w:rPr>
            </w:pPr>
            <w:r w:rsidRPr="00C0339B">
              <w:rPr>
                <w:rFonts w:ascii="Calibri" w:hAnsi="Calibri"/>
              </w:rPr>
              <w:t>Taking photographs and making video recordings</w:t>
            </w:r>
          </w:p>
        </w:tc>
        <w:tc>
          <w:tcPr>
            <w:tcW w:w="2189" w:type="dxa"/>
            <w:vAlign w:val="center"/>
          </w:tcPr>
          <w:p w14:paraId="6F639B2A" w14:textId="5B1F2C70" w:rsidR="002C492D" w:rsidRPr="00C0339B" w:rsidRDefault="002C492D" w:rsidP="002C492D">
            <w:pPr>
              <w:pStyle w:val="VAtabtext"/>
              <w:rPr>
                <w:rFonts w:ascii="Calibri" w:hAnsi="Calibri"/>
              </w:rPr>
            </w:pPr>
            <w:r w:rsidRPr="00C0339B">
              <w:rPr>
                <w:rFonts w:ascii="Calibri" w:hAnsi="Calibri"/>
              </w:rPr>
              <w:t>Promotion of the company</w:t>
            </w:r>
          </w:p>
        </w:tc>
        <w:tc>
          <w:tcPr>
            <w:tcW w:w="2410" w:type="dxa"/>
            <w:vAlign w:val="center"/>
          </w:tcPr>
          <w:p w14:paraId="5B448DF2" w14:textId="3E900B16" w:rsidR="002C492D" w:rsidRPr="00C0339B" w:rsidRDefault="002C492D" w:rsidP="002C492D">
            <w:pPr>
              <w:pStyle w:val="VAtabtext"/>
              <w:rPr>
                <w:rFonts w:ascii="Calibri" w:hAnsi="Calibri"/>
              </w:rPr>
            </w:pPr>
            <w:r w:rsidRPr="00C0339B">
              <w:rPr>
                <w:rFonts w:ascii="Calibri" w:hAnsi="Calibri"/>
              </w:rPr>
              <w:t>Photographs</w:t>
            </w:r>
          </w:p>
        </w:tc>
        <w:tc>
          <w:tcPr>
            <w:tcW w:w="2551" w:type="dxa"/>
            <w:vAlign w:val="center"/>
          </w:tcPr>
          <w:p w14:paraId="70066822" w14:textId="7FBD4832" w:rsidR="002C492D" w:rsidRPr="00C0339B" w:rsidRDefault="002C492D" w:rsidP="002C492D">
            <w:pPr>
              <w:pStyle w:val="VAtabtext"/>
              <w:rPr>
                <w:rFonts w:ascii="Calibri" w:hAnsi="Calibri"/>
              </w:rPr>
            </w:pPr>
            <w:r w:rsidRPr="00C0339B">
              <w:rPr>
                <w:rFonts w:ascii="Calibri" w:hAnsi="Calibri"/>
              </w:rPr>
              <w:t>f) protection of legitimate interests of the controller or other party over which the data subject’s interests in its privacy do not prevail</w:t>
            </w:r>
          </w:p>
        </w:tc>
        <w:tc>
          <w:tcPr>
            <w:tcW w:w="2268" w:type="dxa"/>
            <w:vAlign w:val="center"/>
          </w:tcPr>
          <w:p w14:paraId="40D5DDC8" w14:textId="3F45479E" w:rsidR="002C492D" w:rsidRPr="00C0339B" w:rsidRDefault="002C492D" w:rsidP="002C492D">
            <w:pPr>
              <w:pStyle w:val="VAtabtext"/>
              <w:rPr>
                <w:rFonts w:ascii="Calibri" w:hAnsi="Calibri"/>
              </w:rPr>
            </w:pPr>
            <w:r w:rsidRPr="00C0339B">
              <w:rPr>
                <w:rFonts w:ascii="Calibri" w:hAnsi="Calibri"/>
              </w:rPr>
              <w:t>Use of photographs for advertisement and promotion purposes</w:t>
            </w:r>
          </w:p>
        </w:tc>
        <w:tc>
          <w:tcPr>
            <w:tcW w:w="1418" w:type="dxa"/>
            <w:vAlign w:val="center"/>
          </w:tcPr>
          <w:p w14:paraId="67AA1E31" w14:textId="2BEA85BA" w:rsidR="002C492D" w:rsidRPr="00C0339B" w:rsidRDefault="002C492D" w:rsidP="002C492D">
            <w:pPr>
              <w:pStyle w:val="VAtabtext"/>
              <w:rPr>
                <w:rFonts w:ascii="Calibri" w:hAnsi="Calibri"/>
              </w:rPr>
            </w:pPr>
            <w:r w:rsidRPr="00C0339B">
              <w:rPr>
                <w:rFonts w:ascii="Calibri" w:hAnsi="Calibri"/>
              </w:rPr>
              <w:t>Contractual photographer</w:t>
            </w:r>
          </w:p>
        </w:tc>
        <w:tc>
          <w:tcPr>
            <w:tcW w:w="1984" w:type="dxa"/>
            <w:vAlign w:val="center"/>
          </w:tcPr>
          <w:p w14:paraId="04552428" w14:textId="5B9AB361" w:rsidR="002C492D" w:rsidRPr="00C0339B" w:rsidRDefault="002C492D" w:rsidP="002C492D">
            <w:pPr>
              <w:pStyle w:val="VAtabtext"/>
              <w:rPr>
                <w:rFonts w:ascii="Calibri" w:hAnsi="Calibri"/>
              </w:rPr>
            </w:pPr>
            <w:r w:rsidRPr="00C0339B">
              <w:rPr>
                <w:rFonts w:ascii="Calibri" w:hAnsi="Calibri"/>
              </w:rPr>
              <w:t>On a continuous basis</w:t>
            </w:r>
          </w:p>
        </w:tc>
        <w:tc>
          <w:tcPr>
            <w:tcW w:w="1567" w:type="dxa"/>
            <w:vAlign w:val="center"/>
          </w:tcPr>
          <w:p w14:paraId="5158CAA7" w14:textId="375D4FE4" w:rsidR="002C492D" w:rsidRPr="00C0339B" w:rsidRDefault="002C492D" w:rsidP="002C492D">
            <w:pPr>
              <w:pStyle w:val="VAtabtext"/>
              <w:rPr>
                <w:rFonts w:ascii="Calibri" w:hAnsi="Calibri"/>
              </w:rPr>
            </w:pPr>
            <w:r w:rsidRPr="00C0339B">
              <w:rPr>
                <w:rFonts w:ascii="Calibri" w:hAnsi="Calibri"/>
              </w:rPr>
              <w:t xml:space="preserve"> -</w:t>
            </w:r>
          </w:p>
        </w:tc>
      </w:tr>
      <w:tr w:rsidR="002C492D" w:rsidRPr="00C0339B" w14:paraId="76545459" w14:textId="77777777" w:rsidTr="00D37419">
        <w:trPr>
          <w:cantSplit/>
          <w:trHeight w:val="1134"/>
        </w:trPr>
        <w:tc>
          <w:tcPr>
            <w:tcW w:w="1463" w:type="dxa"/>
            <w:vAlign w:val="center"/>
          </w:tcPr>
          <w:p w14:paraId="558D1277" w14:textId="41B3D4F1" w:rsidR="002C492D" w:rsidRPr="00C0339B" w:rsidRDefault="002C492D" w:rsidP="002C492D">
            <w:pPr>
              <w:pStyle w:val="VAtabtext"/>
              <w:rPr>
                <w:rFonts w:ascii="Calibri" w:hAnsi="Calibri"/>
              </w:rPr>
            </w:pPr>
            <w:r w:rsidRPr="00C0339B">
              <w:rPr>
                <w:rFonts w:ascii="Calibri" w:hAnsi="Calibri"/>
              </w:rPr>
              <w:t>CCTV operation</w:t>
            </w:r>
          </w:p>
        </w:tc>
        <w:tc>
          <w:tcPr>
            <w:tcW w:w="2189" w:type="dxa"/>
            <w:vAlign w:val="center"/>
          </w:tcPr>
          <w:p w14:paraId="200A4F07" w14:textId="44DDAD2A" w:rsidR="002C492D" w:rsidRPr="00C0339B" w:rsidRDefault="002C492D" w:rsidP="002C492D">
            <w:pPr>
              <w:pStyle w:val="VAtabtext"/>
              <w:rPr>
                <w:rFonts w:ascii="Calibri" w:hAnsi="Calibri"/>
              </w:rPr>
            </w:pPr>
            <w:r w:rsidRPr="00C0339B">
              <w:rPr>
                <w:rFonts w:ascii="Calibri" w:hAnsi="Calibri"/>
              </w:rPr>
              <w:t>Safety and protection of life and health of persons (employees, contractual partners or participants and visitors of sports, cultural events and other events)</w:t>
            </w:r>
          </w:p>
        </w:tc>
        <w:tc>
          <w:tcPr>
            <w:tcW w:w="2410" w:type="dxa"/>
            <w:vAlign w:val="center"/>
          </w:tcPr>
          <w:p w14:paraId="46867351" w14:textId="18AD1B36" w:rsidR="002C492D" w:rsidRPr="00C0339B" w:rsidRDefault="002C492D" w:rsidP="002C492D">
            <w:pPr>
              <w:pStyle w:val="VAtabtext"/>
              <w:rPr>
                <w:rFonts w:ascii="Calibri" w:hAnsi="Calibri"/>
              </w:rPr>
            </w:pPr>
            <w:r w:rsidRPr="00C0339B">
              <w:rPr>
                <w:rFonts w:ascii="Calibri" w:hAnsi="Calibri"/>
              </w:rPr>
              <w:t>CCTV recording</w:t>
            </w:r>
          </w:p>
        </w:tc>
        <w:tc>
          <w:tcPr>
            <w:tcW w:w="2551" w:type="dxa"/>
            <w:vAlign w:val="center"/>
          </w:tcPr>
          <w:p w14:paraId="2F02D7F9" w14:textId="5A377547" w:rsidR="002C492D" w:rsidRPr="00C0339B" w:rsidRDefault="002C492D" w:rsidP="002C492D">
            <w:pPr>
              <w:pStyle w:val="VAtabtext"/>
              <w:rPr>
                <w:rFonts w:ascii="Calibri" w:hAnsi="Calibri"/>
              </w:rPr>
            </w:pPr>
            <w:r w:rsidRPr="00C0339B">
              <w:rPr>
                <w:rFonts w:ascii="Calibri" w:hAnsi="Calibri"/>
              </w:rPr>
              <w:t>f) protection of legitimate interests of the controller over which the data subject’s interests in its privacy do not prevail</w:t>
            </w:r>
          </w:p>
        </w:tc>
        <w:tc>
          <w:tcPr>
            <w:tcW w:w="2268" w:type="dxa"/>
            <w:vAlign w:val="center"/>
          </w:tcPr>
          <w:p w14:paraId="1B24345D" w14:textId="019D393A" w:rsidR="002C492D" w:rsidRPr="00C0339B" w:rsidRDefault="002C492D" w:rsidP="002C492D">
            <w:pPr>
              <w:pStyle w:val="VAtabtext"/>
              <w:rPr>
                <w:rFonts w:ascii="Calibri" w:hAnsi="Calibri"/>
              </w:rPr>
            </w:pPr>
            <w:r w:rsidRPr="00C0339B">
              <w:rPr>
                <w:rFonts w:ascii="Calibri" w:hAnsi="Calibri"/>
              </w:rPr>
              <w:t xml:space="preserve">Safety and protection of life and health of persons </w:t>
            </w:r>
          </w:p>
        </w:tc>
        <w:tc>
          <w:tcPr>
            <w:tcW w:w="1418" w:type="dxa"/>
            <w:vAlign w:val="center"/>
          </w:tcPr>
          <w:p w14:paraId="56F9A382" w14:textId="7AE19D13" w:rsidR="002C492D" w:rsidRPr="00C0339B" w:rsidRDefault="002C492D" w:rsidP="002C492D">
            <w:pPr>
              <w:pStyle w:val="VAtabtext"/>
              <w:rPr>
                <w:rFonts w:ascii="Calibri" w:hAnsi="Calibri"/>
              </w:rPr>
            </w:pPr>
            <w:r w:rsidRPr="00C0339B">
              <w:rPr>
                <w:rFonts w:ascii="Calibri" w:hAnsi="Calibri"/>
              </w:rPr>
              <w:t>Data subject</w:t>
            </w:r>
          </w:p>
        </w:tc>
        <w:tc>
          <w:tcPr>
            <w:tcW w:w="1984" w:type="dxa"/>
            <w:vAlign w:val="center"/>
          </w:tcPr>
          <w:p w14:paraId="42029642" w14:textId="7A0E9C54" w:rsidR="002C492D" w:rsidRPr="00C0339B" w:rsidRDefault="002C492D" w:rsidP="002C492D">
            <w:pPr>
              <w:pStyle w:val="VAtabtext"/>
              <w:rPr>
                <w:rFonts w:ascii="Calibri" w:hAnsi="Calibri"/>
              </w:rPr>
            </w:pPr>
            <w:r w:rsidRPr="00C0339B">
              <w:rPr>
                <w:rFonts w:ascii="Calibri" w:hAnsi="Calibri"/>
              </w:rPr>
              <w:t>240 hours (10 days)</w:t>
            </w:r>
            <w:r w:rsidRPr="00C0339B">
              <w:rPr>
                <w:rFonts w:ascii="Calibri" w:hAnsi="Calibri"/>
              </w:rPr>
              <w:br/>
              <w:t>in case of a security incident until investigation thereof</w:t>
            </w:r>
          </w:p>
        </w:tc>
        <w:tc>
          <w:tcPr>
            <w:tcW w:w="1567" w:type="dxa"/>
            <w:vAlign w:val="center"/>
          </w:tcPr>
          <w:p w14:paraId="784B2842" w14:textId="619786E2" w:rsidR="00560A1E" w:rsidRPr="00C0339B" w:rsidRDefault="002C492D" w:rsidP="002C492D">
            <w:pPr>
              <w:pStyle w:val="VAtabtext"/>
              <w:rPr>
                <w:rFonts w:ascii="Calibri" w:hAnsi="Calibri"/>
              </w:rPr>
            </w:pPr>
            <w:r w:rsidRPr="00C0339B">
              <w:rPr>
                <w:rFonts w:ascii="Calibri" w:hAnsi="Calibri"/>
              </w:rPr>
              <w:t>Law enforcement authorities or administrative authorities for conducting misdemeanour proceedings</w:t>
            </w:r>
            <w:r w:rsidRPr="00C0339B">
              <w:rPr>
                <w:rFonts w:ascii="Calibri" w:hAnsi="Calibri"/>
              </w:rPr>
              <w:br/>
              <w:t>Insurance companies involved in investigations related to claims settlement</w:t>
            </w:r>
            <w:r w:rsidRPr="00C0339B">
              <w:rPr>
                <w:rFonts w:ascii="Calibri" w:hAnsi="Calibri"/>
              </w:rPr>
              <w:br/>
              <w:t>HC Vítkovice sports club</w:t>
            </w:r>
          </w:p>
        </w:tc>
      </w:tr>
      <w:tr w:rsidR="002C492D" w:rsidRPr="00C0339B" w14:paraId="1A368A93" w14:textId="77777777" w:rsidTr="00D37419">
        <w:trPr>
          <w:cantSplit/>
          <w:trHeight w:val="1134"/>
        </w:trPr>
        <w:tc>
          <w:tcPr>
            <w:tcW w:w="1463" w:type="dxa"/>
            <w:vAlign w:val="center"/>
          </w:tcPr>
          <w:p w14:paraId="67E7D0BE" w14:textId="30D4F6E0" w:rsidR="002C492D" w:rsidRPr="00C0339B" w:rsidRDefault="002C492D" w:rsidP="002C492D">
            <w:pPr>
              <w:pStyle w:val="VAtabtext"/>
              <w:rPr>
                <w:rFonts w:ascii="Calibri" w:hAnsi="Calibri"/>
              </w:rPr>
            </w:pPr>
            <w:r w:rsidRPr="00C0339B">
              <w:rPr>
                <w:rFonts w:ascii="Calibri" w:hAnsi="Calibri"/>
              </w:rPr>
              <w:lastRenderedPageBreak/>
              <w:t>CCTV operation</w:t>
            </w:r>
          </w:p>
        </w:tc>
        <w:tc>
          <w:tcPr>
            <w:tcW w:w="2189" w:type="dxa"/>
            <w:vAlign w:val="center"/>
          </w:tcPr>
          <w:p w14:paraId="43400AA6" w14:textId="77B2EB27" w:rsidR="002C492D" w:rsidRPr="00C0339B" w:rsidRDefault="002C492D" w:rsidP="002C492D">
            <w:pPr>
              <w:pStyle w:val="VAtabtext"/>
              <w:rPr>
                <w:rFonts w:ascii="Calibri" w:hAnsi="Calibri"/>
              </w:rPr>
            </w:pPr>
            <w:r w:rsidRPr="00C0339B">
              <w:rPr>
                <w:rFonts w:ascii="Calibri" w:hAnsi="Calibri"/>
              </w:rPr>
              <w:t>Prevention of crimes, vandalism and intentional damage to property of the controller, contractual partners, event participants and other involved parties</w:t>
            </w:r>
          </w:p>
        </w:tc>
        <w:tc>
          <w:tcPr>
            <w:tcW w:w="2410" w:type="dxa"/>
            <w:vAlign w:val="center"/>
          </w:tcPr>
          <w:p w14:paraId="0AE5654A" w14:textId="23259E78" w:rsidR="002C492D" w:rsidRPr="00C0339B" w:rsidRDefault="002C492D" w:rsidP="002C492D">
            <w:pPr>
              <w:pStyle w:val="VAtabtext"/>
              <w:rPr>
                <w:rFonts w:ascii="Calibri" w:hAnsi="Calibri"/>
              </w:rPr>
            </w:pPr>
            <w:r w:rsidRPr="00C0339B">
              <w:rPr>
                <w:rFonts w:ascii="Calibri" w:hAnsi="Calibri"/>
              </w:rPr>
              <w:t>CCTV recording</w:t>
            </w:r>
          </w:p>
        </w:tc>
        <w:tc>
          <w:tcPr>
            <w:tcW w:w="2551" w:type="dxa"/>
            <w:vAlign w:val="center"/>
          </w:tcPr>
          <w:p w14:paraId="1D6B7957" w14:textId="47E49118" w:rsidR="002C492D" w:rsidRPr="00C0339B" w:rsidRDefault="002C492D" w:rsidP="002C492D">
            <w:pPr>
              <w:pStyle w:val="VAtabtext"/>
              <w:rPr>
                <w:rFonts w:ascii="Calibri" w:hAnsi="Calibri"/>
              </w:rPr>
            </w:pPr>
            <w:r w:rsidRPr="00C0339B">
              <w:rPr>
                <w:rFonts w:ascii="Calibri" w:hAnsi="Calibri"/>
              </w:rPr>
              <w:t>f) protection of legitimate interests of the controller over which the data subject’s interests in its privacy do not prevail</w:t>
            </w:r>
          </w:p>
        </w:tc>
        <w:tc>
          <w:tcPr>
            <w:tcW w:w="2268" w:type="dxa"/>
            <w:vAlign w:val="center"/>
          </w:tcPr>
          <w:p w14:paraId="3F1AAD96" w14:textId="3FCFD68A" w:rsidR="002C492D" w:rsidRPr="00C0339B" w:rsidRDefault="002C492D" w:rsidP="002C492D">
            <w:pPr>
              <w:pStyle w:val="VAtabtext"/>
              <w:rPr>
                <w:rFonts w:ascii="Calibri" w:hAnsi="Calibri"/>
              </w:rPr>
            </w:pPr>
            <w:r w:rsidRPr="00C0339B">
              <w:rPr>
                <w:rFonts w:ascii="Calibri" w:hAnsi="Calibri"/>
              </w:rPr>
              <w:t>Prevention of crimes and vandalism</w:t>
            </w:r>
          </w:p>
        </w:tc>
        <w:tc>
          <w:tcPr>
            <w:tcW w:w="1418" w:type="dxa"/>
            <w:vAlign w:val="center"/>
          </w:tcPr>
          <w:p w14:paraId="7D82290F" w14:textId="22E5522B" w:rsidR="002C492D" w:rsidRPr="00C0339B" w:rsidRDefault="002C492D" w:rsidP="002C492D">
            <w:pPr>
              <w:pStyle w:val="VAtabtext"/>
              <w:rPr>
                <w:rFonts w:ascii="Calibri" w:hAnsi="Calibri"/>
              </w:rPr>
            </w:pPr>
            <w:r w:rsidRPr="00C0339B">
              <w:rPr>
                <w:rFonts w:ascii="Calibri" w:hAnsi="Calibri"/>
              </w:rPr>
              <w:t>Data subject</w:t>
            </w:r>
          </w:p>
        </w:tc>
        <w:tc>
          <w:tcPr>
            <w:tcW w:w="1984" w:type="dxa"/>
            <w:vAlign w:val="center"/>
          </w:tcPr>
          <w:p w14:paraId="056E0EED" w14:textId="2E86F0CD" w:rsidR="002C492D" w:rsidRPr="00C0339B" w:rsidRDefault="002C492D" w:rsidP="002C492D">
            <w:pPr>
              <w:pStyle w:val="VAtabtext"/>
              <w:rPr>
                <w:rFonts w:ascii="Calibri" w:hAnsi="Calibri"/>
              </w:rPr>
            </w:pPr>
            <w:r w:rsidRPr="00C0339B">
              <w:rPr>
                <w:rFonts w:ascii="Calibri" w:hAnsi="Calibri"/>
              </w:rPr>
              <w:t>240 hours (10 days)</w:t>
            </w:r>
            <w:r w:rsidRPr="00C0339B">
              <w:rPr>
                <w:rFonts w:ascii="Calibri" w:hAnsi="Calibri"/>
              </w:rPr>
              <w:br/>
              <w:t>in case of a security incident until investigation thereof</w:t>
            </w:r>
          </w:p>
        </w:tc>
        <w:tc>
          <w:tcPr>
            <w:tcW w:w="1567" w:type="dxa"/>
            <w:vAlign w:val="center"/>
          </w:tcPr>
          <w:p w14:paraId="6A3F51EB" w14:textId="0D24EADF" w:rsidR="002C492D" w:rsidRPr="00C0339B" w:rsidRDefault="00560A1E" w:rsidP="002C492D">
            <w:pPr>
              <w:pStyle w:val="VAtabtext"/>
              <w:rPr>
                <w:rFonts w:ascii="Calibri" w:hAnsi="Calibri"/>
              </w:rPr>
            </w:pPr>
            <w:r w:rsidRPr="00C0339B">
              <w:rPr>
                <w:rFonts w:ascii="Calibri" w:hAnsi="Calibri"/>
              </w:rPr>
              <w:t>Law enforcement authorities or administrative authorities for conducting misdemeanour proceedings</w:t>
            </w:r>
            <w:r w:rsidRPr="00C0339B">
              <w:rPr>
                <w:rFonts w:ascii="Calibri" w:hAnsi="Calibri"/>
              </w:rPr>
              <w:br/>
              <w:t>Insurance companies involved in investigations related to claims settlement</w:t>
            </w:r>
            <w:r w:rsidRPr="00C0339B">
              <w:rPr>
                <w:rFonts w:ascii="Calibri" w:hAnsi="Calibri"/>
              </w:rPr>
              <w:br/>
              <w:t>HC Vítkovice sports club</w:t>
            </w:r>
          </w:p>
        </w:tc>
      </w:tr>
      <w:tr w:rsidR="002C492D" w:rsidRPr="00C0339B" w14:paraId="26988B4C" w14:textId="77777777" w:rsidTr="00D37419">
        <w:trPr>
          <w:cantSplit/>
          <w:trHeight w:val="1134"/>
        </w:trPr>
        <w:tc>
          <w:tcPr>
            <w:tcW w:w="1463" w:type="dxa"/>
            <w:vAlign w:val="center"/>
          </w:tcPr>
          <w:p w14:paraId="55937E6D" w14:textId="4FB9A449" w:rsidR="002C492D" w:rsidRPr="00C0339B" w:rsidRDefault="002C492D" w:rsidP="002C492D">
            <w:pPr>
              <w:pStyle w:val="VAtabtext"/>
              <w:rPr>
                <w:rFonts w:ascii="Calibri" w:hAnsi="Calibri"/>
              </w:rPr>
            </w:pPr>
            <w:r w:rsidRPr="00C0339B">
              <w:rPr>
                <w:rFonts w:ascii="Calibri" w:hAnsi="Calibri"/>
              </w:rPr>
              <w:t>CCTV operation</w:t>
            </w:r>
          </w:p>
        </w:tc>
        <w:tc>
          <w:tcPr>
            <w:tcW w:w="2189" w:type="dxa"/>
            <w:vAlign w:val="center"/>
          </w:tcPr>
          <w:p w14:paraId="16660C25" w14:textId="7FFDA528" w:rsidR="002C492D" w:rsidRPr="00C0339B" w:rsidRDefault="002C492D" w:rsidP="002C492D">
            <w:pPr>
              <w:pStyle w:val="VAtabtext"/>
              <w:rPr>
                <w:rFonts w:ascii="Calibri" w:hAnsi="Calibri"/>
              </w:rPr>
            </w:pPr>
            <w:r w:rsidRPr="00C0339B">
              <w:rPr>
                <w:rFonts w:ascii="Calibri" w:hAnsi="Calibri"/>
              </w:rPr>
              <w:t>Compliance with the centre's rules and regulations by visitors and users</w:t>
            </w:r>
          </w:p>
        </w:tc>
        <w:tc>
          <w:tcPr>
            <w:tcW w:w="2410" w:type="dxa"/>
            <w:vAlign w:val="center"/>
          </w:tcPr>
          <w:p w14:paraId="63EC942C" w14:textId="1D7E9F46" w:rsidR="002C492D" w:rsidRPr="00C0339B" w:rsidRDefault="002C492D" w:rsidP="002C492D">
            <w:pPr>
              <w:pStyle w:val="VAtabtext"/>
              <w:rPr>
                <w:rFonts w:ascii="Calibri" w:hAnsi="Calibri"/>
              </w:rPr>
            </w:pPr>
            <w:r w:rsidRPr="00C0339B">
              <w:rPr>
                <w:rFonts w:ascii="Calibri" w:hAnsi="Calibri"/>
              </w:rPr>
              <w:t>CCTV recording</w:t>
            </w:r>
          </w:p>
        </w:tc>
        <w:tc>
          <w:tcPr>
            <w:tcW w:w="2551" w:type="dxa"/>
            <w:vAlign w:val="center"/>
          </w:tcPr>
          <w:p w14:paraId="05FD46B0" w14:textId="2875BDDC" w:rsidR="002C492D" w:rsidRPr="00C0339B" w:rsidRDefault="002C492D" w:rsidP="002C492D">
            <w:pPr>
              <w:pStyle w:val="VAtabtext"/>
              <w:rPr>
                <w:rFonts w:ascii="Calibri" w:hAnsi="Calibri"/>
              </w:rPr>
            </w:pPr>
            <w:r w:rsidRPr="00C0339B">
              <w:rPr>
                <w:rFonts w:ascii="Calibri" w:hAnsi="Calibri"/>
              </w:rPr>
              <w:t>f) protection of legitimate interests of the controller over which the data subject’s interests in its privacy do not prevail</w:t>
            </w:r>
          </w:p>
        </w:tc>
        <w:tc>
          <w:tcPr>
            <w:tcW w:w="2268" w:type="dxa"/>
            <w:vAlign w:val="center"/>
          </w:tcPr>
          <w:p w14:paraId="608D7439" w14:textId="7A510DB5" w:rsidR="002C492D" w:rsidRPr="00C0339B" w:rsidRDefault="002C492D" w:rsidP="002C492D">
            <w:pPr>
              <w:pStyle w:val="VAtabtext"/>
              <w:rPr>
                <w:rFonts w:ascii="Calibri" w:hAnsi="Calibri"/>
              </w:rPr>
            </w:pPr>
            <w:r w:rsidRPr="00C0339B">
              <w:rPr>
                <w:rFonts w:ascii="Calibri" w:hAnsi="Calibri"/>
              </w:rPr>
              <w:t>Compliance with the rules and regulations by visitors and users</w:t>
            </w:r>
          </w:p>
        </w:tc>
        <w:tc>
          <w:tcPr>
            <w:tcW w:w="1418" w:type="dxa"/>
            <w:vAlign w:val="center"/>
          </w:tcPr>
          <w:p w14:paraId="2DB0A7F1" w14:textId="02304E72" w:rsidR="002C492D" w:rsidRPr="00C0339B" w:rsidRDefault="002C492D" w:rsidP="002C492D">
            <w:pPr>
              <w:pStyle w:val="VAtabtext"/>
              <w:rPr>
                <w:rFonts w:ascii="Calibri" w:hAnsi="Calibri"/>
              </w:rPr>
            </w:pPr>
            <w:r w:rsidRPr="00C0339B">
              <w:rPr>
                <w:rFonts w:ascii="Calibri" w:hAnsi="Calibri"/>
              </w:rPr>
              <w:t>Data subject</w:t>
            </w:r>
          </w:p>
        </w:tc>
        <w:tc>
          <w:tcPr>
            <w:tcW w:w="1984" w:type="dxa"/>
            <w:vAlign w:val="center"/>
          </w:tcPr>
          <w:p w14:paraId="6D279E57" w14:textId="734B0CFA" w:rsidR="002C492D" w:rsidRPr="00C0339B" w:rsidRDefault="002C492D" w:rsidP="002C492D">
            <w:pPr>
              <w:pStyle w:val="VAtabtext"/>
              <w:rPr>
                <w:rFonts w:ascii="Calibri" w:hAnsi="Calibri"/>
              </w:rPr>
            </w:pPr>
            <w:r w:rsidRPr="00C0339B">
              <w:rPr>
                <w:rFonts w:ascii="Calibri" w:hAnsi="Calibri"/>
              </w:rPr>
              <w:t>240 hours (10 days)</w:t>
            </w:r>
            <w:r w:rsidRPr="00C0339B">
              <w:rPr>
                <w:rFonts w:ascii="Calibri" w:hAnsi="Calibri"/>
              </w:rPr>
              <w:br/>
              <w:t>in case of a security incident until investigation thereof</w:t>
            </w:r>
          </w:p>
        </w:tc>
        <w:tc>
          <w:tcPr>
            <w:tcW w:w="1567" w:type="dxa"/>
            <w:vAlign w:val="center"/>
          </w:tcPr>
          <w:p w14:paraId="23F26EFC" w14:textId="7E68122E" w:rsidR="002C492D" w:rsidRPr="00C0339B" w:rsidRDefault="00560A1E" w:rsidP="002C492D">
            <w:pPr>
              <w:pStyle w:val="VAtabtext"/>
              <w:rPr>
                <w:rFonts w:ascii="Calibri" w:hAnsi="Calibri"/>
              </w:rPr>
            </w:pPr>
            <w:r w:rsidRPr="00C0339B">
              <w:rPr>
                <w:rFonts w:ascii="Calibri" w:hAnsi="Calibri"/>
              </w:rPr>
              <w:t>Law enforcement authorities or administrative authorities for conducting misdemeanour proceedings</w:t>
            </w:r>
            <w:r w:rsidRPr="00C0339B">
              <w:rPr>
                <w:rFonts w:ascii="Calibri" w:hAnsi="Calibri"/>
              </w:rPr>
              <w:br/>
              <w:t>Insurance companies involved in investigations related to claims settlement</w:t>
            </w:r>
            <w:r w:rsidRPr="00C0339B">
              <w:rPr>
                <w:rFonts w:ascii="Calibri" w:hAnsi="Calibri"/>
              </w:rPr>
              <w:br/>
              <w:t>HC Vítkovice sports club</w:t>
            </w:r>
          </w:p>
        </w:tc>
      </w:tr>
      <w:tr w:rsidR="002C492D" w:rsidRPr="00C0339B" w14:paraId="7EF2060E" w14:textId="77777777" w:rsidTr="00D37419">
        <w:trPr>
          <w:cantSplit/>
          <w:trHeight w:val="1134"/>
        </w:trPr>
        <w:tc>
          <w:tcPr>
            <w:tcW w:w="1463" w:type="dxa"/>
            <w:vAlign w:val="center"/>
          </w:tcPr>
          <w:p w14:paraId="394323AA" w14:textId="3CF56ACD" w:rsidR="002C492D" w:rsidRPr="00C0339B" w:rsidRDefault="002C492D" w:rsidP="002C492D">
            <w:pPr>
              <w:pStyle w:val="VAtabtext"/>
              <w:rPr>
                <w:rFonts w:ascii="Calibri" w:hAnsi="Calibri"/>
              </w:rPr>
            </w:pPr>
            <w:r w:rsidRPr="00C0339B">
              <w:rPr>
                <w:rFonts w:ascii="Calibri" w:hAnsi="Calibri"/>
              </w:rPr>
              <w:t>CCTV operation</w:t>
            </w:r>
          </w:p>
        </w:tc>
        <w:tc>
          <w:tcPr>
            <w:tcW w:w="2189" w:type="dxa"/>
            <w:vAlign w:val="center"/>
          </w:tcPr>
          <w:p w14:paraId="5FBC1636" w14:textId="13DE6EFD" w:rsidR="002C492D" w:rsidRPr="00C0339B" w:rsidRDefault="002C492D" w:rsidP="002C492D">
            <w:pPr>
              <w:pStyle w:val="VAtabtext"/>
              <w:rPr>
                <w:rFonts w:ascii="Calibri" w:hAnsi="Calibri"/>
              </w:rPr>
            </w:pPr>
            <w:r w:rsidRPr="00C0339B">
              <w:rPr>
                <w:rFonts w:ascii="Calibri" w:hAnsi="Calibri"/>
              </w:rPr>
              <w:t xml:space="preserve">Performance of obligations as per the Payment Card Acceptance Agreement entered into by and between the controller and the bank UniCredit Bank Czech Republic and Slovakia, a.s., based at Želetavská 1525/1, post code 140 92 Prague 4 – Michle </w:t>
            </w:r>
          </w:p>
        </w:tc>
        <w:tc>
          <w:tcPr>
            <w:tcW w:w="2410" w:type="dxa"/>
            <w:vAlign w:val="center"/>
          </w:tcPr>
          <w:p w14:paraId="4DACED35" w14:textId="61EC370B" w:rsidR="002C492D" w:rsidRPr="00C0339B" w:rsidRDefault="002C492D" w:rsidP="002C492D">
            <w:pPr>
              <w:pStyle w:val="VAtabtext"/>
              <w:rPr>
                <w:rFonts w:ascii="Calibri" w:hAnsi="Calibri"/>
              </w:rPr>
            </w:pPr>
            <w:r w:rsidRPr="00C0339B">
              <w:rPr>
                <w:rFonts w:ascii="Calibri" w:hAnsi="Calibri"/>
              </w:rPr>
              <w:t>CCTV recording</w:t>
            </w:r>
          </w:p>
        </w:tc>
        <w:tc>
          <w:tcPr>
            <w:tcW w:w="2551" w:type="dxa"/>
            <w:vAlign w:val="center"/>
          </w:tcPr>
          <w:p w14:paraId="7E14F10D" w14:textId="6632175A" w:rsidR="002C492D" w:rsidRPr="00C0339B" w:rsidRDefault="002C492D" w:rsidP="002C492D">
            <w:pPr>
              <w:pStyle w:val="VAtabtext"/>
              <w:rPr>
                <w:rFonts w:ascii="Calibri" w:hAnsi="Calibri"/>
              </w:rPr>
            </w:pPr>
            <w:r w:rsidRPr="00C0339B">
              <w:rPr>
                <w:rFonts w:ascii="Calibri" w:hAnsi="Calibri"/>
              </w:rPr>
              <w:t>f) protection of legitimate interests of a third party (bank) over which the data subject’s interests in its privacy do not prevail</w:t>
            </w:r>
          </w:p>
        </w:tc>
        <w:tc>
          <w:tcPr>
            <w:tcW w:w="2268" w:type="dxa"/>
            <w:vAlign w:val="center"/>
          </w:tcPr>
          <w:p w14:paraId="04708805" w14:textId="41381EBD" w:rsidR="002C492D" w:rsidRPr="00C0339B" w:rsidRDefault="002C492D" w:rsidP="002C492D">
            <w:pPr>
              <w:pStyle w:val="VAtabtext"/>
              <w:rPr>
                <w:rFonts w:ascii="Calibri" w:hAnsi="Calibri"/>
              </w:rPr>
            </w:pPr>
            <w:r w:rsidRPr="00C0339B">
              <w:rPr>
                <w:rFonts w:ascii="Calibri" w:hAnsi="Calibri"/>
              </w:rPr>
              <w:t>The legitimate interest of the third party (bank) in keeping a record for a period of 30 days is to ensure the specification, exercise or defence of legal claims related to the provision of card services for purposes of payments at parking pay points</w:t>
            </w:r>
          </w:p>
        </w:tc>
        <w:tc>
          <w:tcPr>
            <w:tcW w:w="1418" w:type="dxa"/>
            <w:vAlign w:val="center"/>
          </w:tcPr>
          <w:p w14:paraId="6C1EEAE0" w14:textId="1AE0E987" w:rsidR="002C492D" w:rsidRPr="00C0339B" w:rsidRDefault="002C492D" w:rsidP="002C492D">
            <w:pPr>
              <w:pStyle w:val="VAtabtext"/>
              <w:rPr>
                <w:rFonts w:ascii="Calibri" w:hAnsi="Calibri"/>
              </w:rPr>
            </w:pPr>
            <w:r w:rsidRPr="00C0339B">
              <w:rPr>
                <w:rFonts w:ascii="Calibri" w:hAnsi="Calibri"/>
              </w:rPr>
              <w:t>Data subject</w:t>
            </w:r>
          </w:p>
        </w:tc>
        <w:tc>
          <w:tcPr>
            <w:tcW w:w="1984" w:type="dxa"/>
            <w:vAlign w:val="center"/>
          </w:tcPr>
          <w:p w14:paraId="79258304" w14:textId="599F291D" w:rsidR="002C492D" w:rsidRPr="00C0339B" w:rsidRDefault="002C492D" w:rsidP="002C492D">
            <w:pPr>
              <w:pStyle w:val="VAtabtext"/>
              <w:rPr>
                <w:rFonts w:ascii="Calibri" w:hAnsi="Calibri"/>
              </w:rPr>
            </w:pPr>
            <w:r w:rsidRPr="00C0339B">
              <w:rPr>
                <w:rFonts w:ascii="Calibri" w:hAnsi="Calibri"/>
              </w:rPr>
              <w:t>720 hours (30 days)</w:t>
            </w:r>
            <w:r w:rsidRPr="00C0339B">
              <w:rPr>
                <w:rFonts w:ascii="Calibri" w:hAnsi="Calibri"/>
              </w:rPr>
              <w:br/>
              <w:t>in case of a security incident until investigation thereof</w:t>
            </w:r>
          </w:p>
        </w:tc>
        <w:tc>
          <w:tcPr>
            <w:tcW w:w="1567" w:type="dxa"/>
            <w:vAlign w:val="center"/>
          </w:tcPr>
          <w:p w14:paraId="2F20232B" w14:textId="75026409" w:rsidR="002C492D" w:rsidRPr="00C0339B" w:rsidRDefault="002C492D" w:rsidP="002C492D">
            <w:pPr>
              <w:pStyle w:val="VAtabtext"/>
              <w:rPr>
                <w:rFonts w:ascii="Calibri" w:hAnsi="Calibri"/>
              </w:rPr>
            </w:pPr>
            <w:r w:rsidRPr="00C0339B">
              <w:rPr>
                <w:rFonts w:ascii="Calibri" w:hAnsi="Calibri"/>
              </w:rPr>
              <w:t>Bank</w:t>
            </w:r>
          </w:p>
        </w:tc>
      </w:tr>
    </w:tbl>
    <w:p w14:paraId="63EFAB56" w14:textId="70634584" w:rsidR="003E1D56" w:rsidRPr="00C0339B" w:rsidRDefault="003E1D56" w:rsidP="00963F6B">
      <w:pPr>
        <w:rPr>
          <w:rFonts w:ascii="Calibri" w:hAnsi="Calibri"/>
        </w:rPr>
      </w:pPr>
    </w:p>
    <w:sectPr w:rsidR="003E1D56" w:rsidRPr="00C0339B" w:rsidSect="00963F6B">
      <w:footerReference w:type="even" r:id="rId8"/>
      <w:headerReference w:type="first" r:id="rId9"/>
      <w:footerReference w:type="first" r:id="rId10"/>
      <w:pgSz w:w="16838" w:h="11906" w:orient="landscape"/>
      <w:pgMar w:top="720" w:right="720" w:bottom="720" w:left="720" w:header="850"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0CCCE" w14:textId="77777777" w:rsidR="00B65DF1" w:rsidRDefault="00B65DF1">
      <w:r>
        <w:separator/>
      </w:r>
    </w:p>
    <w:p w14:paraId="35CDB67B" w14:textId="77777777" w:rsidR="00B65DF1" w:rsidRDefault="00B65DF1"/>
  </w:endnote>
  <w:endnote w:type="continuationSeparator" w:id="0">
    <w:p w14:paraId="7FAE8FC4" w14:textId="77777777" w:rsidR="00B65DF1" w:rsidRDefault="00B65DF1">
      <w:r>
        <w:continuationSeparator/>
      </w:r>
    </w:p>
    <w:p w14:paraId="66CE4943" w14:textId="77777777" w:rsidR="00B65DF1" w:rsidRDefault="00B65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eamViewer10Host">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32E2" w14:textId="77777777" w:rsidR="00466B11" w:rsidRDefault="00466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027AC5D9" w14:textId="77777777" w:rsidR="00466B11" w:rsidRDefault="00466B11">
    <w:pPr>
      <w:pStyle w:val="Footer"/>
    </w:pPr>
  </w:p>
  <w:p w14:paraId="6C55186F" w14:textId="77777777" w:rsidR="00FD16C2" w:rsidRDefault="00FD16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A87E" w14:textId="77777777" w:rsidR="00466B11" w:rsidRDefault="00466B11" w:rsidP="00234C27">
    <w:pPr>
      <w:pStyle w:val="Footer"/>
      <w:framePr w:wrap="around" w:vAnchor="text" w:hAnchor="margin" w:xAlign="center" w:y="1"/>
      <w:rPr>
        <w:rStyle w:val="PageNumber"/>
      </w:rPr>
    </w:pPr>
  </w:p>
  <w:p w14:paraId="0B2EB7C7" w14:textId="77777777" w:rsidR="00466B11" w:rsidRDefault="00466B11" w:rsidP="00234C27">
    <w:pPr>
      <w:pStyle w:val="Footer"/>
      <w:framePr w:wrap="around" w:vAnchor="text" w:hAnchor="margin" w:xAlign="center" w:y="144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sz w:val="20"/>
      </w:rPr>
      <w:t>1</w:t>
    </w:r>
    <w:r>
      <w:rPr>
        <w:rStyle w:val="PageNumber"/>
        <w:rFonts w:ascii="Arial" w:hAnsi="Arial"/>
        <w:sz w:val="20"/>
      </w:rPr>
      <w:fldChar w:fldCharType="end"/>
    </w:r>
  </w:p>
  <w:p w14:paraId="1A4D0425" w14:textId="77777777" w:rsidR="00466B11" w:rsidRDefault="00466B11" w:rsidP="00234C27">
    <w:pPr>
      <w:pStyle w:val="Footer"/>
      <w:framePr w:wrap="around" w:vAnchor="text" w:hAnchor="margin" w:xAlign="center" w:y="1441"/>
      <w:rPr>
        <w:rStyle w:val="PageNumber"/>
      </w:rPr>
    </w:pPr>
  </w:p>
  <w:p w14:paraId="17A4B16C" w14:textId="77777777" w:rsidR="00466B11" w:rsidRDefault="00466B11">
    <w:pPr>
      <w:pStyle w:val="Footer"/>
    </w:pPr>
  </w:p>
  <w:p w14:paraId="2556FCCA" w14:textId="77777777" w:rsidR="00FD16C2" w:rsidRDefault="00FD1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55B22" w14:textId="77777777" w:rsidR="00B65DF1" w:rsidRDefault="00B65DF1">
      <w:r>
        <w:separator/>
      </w:r>
    </w:p>
    <w:p w14:paraId="0A75F98D" w14:textId="77777777" w:rsidR="00B65DF1" w:rsidRDefault="00B65DF1"/>
  </w:footnote>
  <w:footnote w:type="continuationSeparator" w:id="0">
    <w:p w14:paraId="13DD7880" w14:textId="77777777" w:rsidR="00B65DF1" w:rsidRDefault="00B65DF1">
      <w:r>
        <w:continuationSeparator/>
      </w:r>
    </w:p>
    <w:p w14:paraId="326494F3" w14:textId="77777777" w:rsidR="00B65DF1" w:rsidRDefault="00B65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9D1B" w14:textId="77777777" w:rsidR="00466B11" w:rsidRDefault="00C317DA" w:rsidP="00083583">
    <w:pPr>
      <w:pStyle w:val="Header"/>
      <w:pBdr>
        <w:bottom w:val="single" w:sz="4" w:space="13" w:color="000080"/>
      </w:pBdr>
      <w:tabs>
        <w:tab w:val="right" w:pos="9212"/>
      </w:tabs>
      <w:rPr>
        <w:rFonts w:ascii="Arial" w:hAnsi="Arial"/>
        <w:b/>
        <w:sz w:val="20"/>
      </w:rPr>
    </w:pPr>
    <w:r>
      <w:rPr>
        <w:rFonts w:ascii="Arial" w:hAnsi="Arial"/>
        <w:b/>
        <w:sz w:val="20"/>
      </w:rPr>
      <w:object w:dxaOrig="1440" w:dyaOrig="1440" w14:anchorId="088FB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0.35pt;margin-top:-8.6pt;width:57.6pt;height:28.85pt;z-index:251656704;visibility:visible;mso-wrap-edited:f" o:allowincell="f">
          <v:imagedata r:id="rId1" o:title=""/>
          <w10:wrap type="topAndBottom"/>
        </v:shape>
        <o:OLEObject Type="Embed" ProgID="Word.Picture.8" ShapeID="_x0000_s2050" DrawAspect="Content" ObjectID="_1658644171" r:id="rId2"/>
      </w:object>
    </w:r>
    <w:r w:rsidR="00FE64CA">
      <w:rPr>
        <w:rFonts w:ascii="Arial" w:hAnsi="Arial"/>
        <w:b/>
        <w:sz w:val="20"/>
      </w:rPr>
      <w:t>Directive No. X/2020</w:t>
    </w:r>
    <w:r w:rsidR="00FE64CA">
      <w:rPr>
        <w:rFonts w:ascii="Arial" w:hAnsi="Arial"/>
        <w:b/>
        <w:sz w:val="20"/>
      </w:rPr>
      <w:br/>
      <w:t>Technical and Organisational Measures for CCTV Operation - City Stadium</w:t>
    </w:r>
  </w:p>
  <w:p w14:paraId="0A2A0D4C" w14:textId="77777777" w:rsidR="00466B11" w:rsidRDefault="00466B11">
    <w:pPr>
      <w:pStyle w:val="Header"/>
    </w:pPr>
  </w:p>
  <w:p w14:paraId="3DFDC1B4" w14:textId="77777777" w:rsidR="00FD16C2" w:rsidRDefault="00FD1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94A"/>
    <w:multiLevelType w:val="singleLevel"/>
    <w:tmpl w:val="26E465E4"/>
    <w:lvl w:ilvl="0">
      <w:start w:val="1"/>
      <w:numFmt w:val="bullet"/>
      <w:pStyle w:val="VApojem"/>
      <w:lvlText w:val=""/>
      <w:lvlJc w:val="left"/>
      <w:pPr>
        <w:tabs>
          <w:tab w:val="num" w:pos="360"/>
        </w:tabs>
        <w:ind w:left="360" w:hanging="360"/>
      </w:pPr>
      <w:rPr>
        <w:rFonts w:ascii="Wingdings" w:hAnsi="Wingdings" w:hint="default"/>
      </w:rPr>
    </w:lvl>
  </w:abstractNum>
  <w:abstractNum w:abstractNumId="1" w15:restartNumberingAfterBreak="0">
    <w:nsid w:val="0C361FEF"/>
    <w:multiLevelType w:val="multilevel"/>
    <w:tmpl w:val="5302D202"/>
    <w:lvl w:ilvl="0">
      <w:start w:val="1"/>
      <w:numFmt w:val="bullet"/>
      <w:pStyle w:val="Lis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1256E"/>
    <w:multiLevelType w:val="multilevel"/>
    <w:tmpl w:val="E4BCC1A8"/>
    <w:styleLink w:val="SM-"/>
    <w:lvl w:ilvl="0">
      <w:start w:val="1"/>
      <w:numFmt w:val="decimal"/>
      <w:lvlText w:val="%1."/>
      <w:lvlJc w:val="left"/>
      <w:pPr>
        <w:ind w:left="644" w:hanging="360"/>
      </w:pPr>
      <w:rPr>
        <w:rFonts w:ascii="Verdana" w:hAnsi="Verdana" w:cs="Tahoma" w:hint="default"/>
        <w:b w:val="0"/>
        <w:i w:val="0"/>
        <w:sz w:val="20"/>
        <w:szCs w:val="22"/>
      </w:rPr>
    </w:lvl>
    <w:lvl w:ilvl="1">
      <w:start w:val="1"/>
      <w:numFmt w:val="lowerLetter"/>
      <w:lvlText w:val="%2)"/>
      <w:lvlJc w:val="left"/>
      <w:pPr>
        <w:tabs>
          <w:tab w:val="num" w:pos="1208"/>
        </w:tabs>
        <w:ind w:left="1208" w:hanging="357"/>
      </w:pPr>
      <w:rPr>
        <w:rFonts w:ascii="Verdana" w:hAnsi="Verdana" w:hint="default"/>
        <w:b w:val="0"/>
        <w:i w:val="0"/>
        <w:sz w:val="20"/>
      </w:rPr>
    </w:lvl>
    <w:lvl w:ilvl="2">
      <w:start w:val="1"/>
      <w:numFmt w:val="lowerRoman"/>
      <w:lvlText w:val="%3."/>
      <w:lvlJc w:val="right"/>
      <w:pPr>
        <w:tabs>
          <w:tab w:val="num" w:pos="1599"/>
        </w:tabs>
        <w:ind w:left="1599" w:hanging="181"/>
      </w:pPr>
      <w:rPr>
        <w:rFonts w:ascii="Verdana" w:hAnsi="Verdana"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B123F37"/>
    <w:multiLevelType w:val="hybridMultilevel"/>
    <w:tmpl w:val="C5783744"/>
    <w:lvl w:ilvl="0" w:tplc="4A32B6E4">
      <w:start w:val="1"/>
      <w:numFmt w:val="decimal"/>
      <w:pStyle w:val="VAlnek"/>
      <w:suff w:val="nothing"/>
      <w:lvlText w:val="Článek č. %1 – "/>
      <w:lvlJc w:val="center"/>
      <w:pPr>
        <w:ind w:left="360" w:firstLine="320"/>
      </w:pPr>
      <w:rPr>
        <w:rFonts w:ascii="Arial Black" w:hAnsi="Arial Black" w:cs="Times New Roman" w:hint="default"/>
        <w:b w:val="0"/>
        <w:bCs w:val="0"/>
        <w:i w:val="0"/>
        <w:iCs w:val="0"/>
        <w:caps w:val="0"/>
        <w:strike w:val="0"/>
        <w:dstrike w:val="0"/>
        <w:vanish w:val="0"/>
        <w:color w:val="000000"/>
        <w:spacing w:val="0"/>
        <w:kern w:val="0"/>
        <w:position w:val="0"/>
        <w:sz w:val="32"/>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213B4B"/>
    <w:multiLevelType w:val="hybridMultilevel"/>
    <w:tmpl w:val="6F1AD162"/>
    <w:lvl w:ilvl="0" w:tplc="C2AE0650">
      <w:start w:val="1"/>
      <w:numFmt w:val="upperRoman"/>
      <w:pStyle w:val="VAst"/>
      <w:suff w:val="nothing"/>
      <w:lvlText w:val="%1. "/>
      <w:lvlJc w:val="center"/>
      <w:pPr>
        <w:ind w:left="720" w:hanging="360"/>
      </w:pPr>
      <w:rPr>
        <w:rFonts w:ascii="Arial Black" w:hAnsi="Arial Black" w:cs="Arial"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1E4861"/>
    <w:multiLevelType w:val="multilevel"/>
    <w:tmpl w:val="0E0C1E4E"/>
    <w:lvl w:ilvl="0">
      <w:start w:val="1"/>
      <w:numFmt w:val="decimal"/>
      <w:pStyle w:val="VAbod"/>
      <w:lvlText w:val="%1."/>
      <w:lvlJc w:val="left"/>
      <w:pPr>
        <w:ind w:left="360" w:hanging="360"/>
      </w:pPr>
      <w:rPr>
        <w:rFonts w:hint="default"/>
        <w:b w:val="0"/>
      </w:rPr>
    </w:lvl>
    <w:lvl w:ilvl="1">
      <w:start w:val="1"/>
      <w:numFmt w:val="lowerLetter"/>
      <w:pStyle w:val="VApsmeno"/>
      <w:lvlText w:val="%2)"/>
      <w:lvlJc w:val="left"/>
      <w:pPr>
        <w:ind w:left="720" w:hanging="360"/>
      </w:pPr>
      <w:rPr>
        <w:rFonts w:hint="default"/>
      </w:rPr>
    </w:lvl>
    <w:lvl w:ilvl="2">
      <w:start w:val="1"/>
      <w:numFmt w:val="bullet"/>
      <w:pStyle w:val="VAodrka"/>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6A"/>
    <w:rsid w:val="0000174F"/>
    <w:rsid w:val="00010813"/>
    <w:rsid w:val="00014B03"/>
    <w:rsid w:val="00016A9A"/>
    <w:rsid w:val="000171E9"/>
    <w:rsid w:val="00017948"/>
    <w:rsid w:val="00021062"/>
    <w:rsid w:val="0002150B"/>
    <w:rsid w:val="00033D88"/>
    <w:rsid w:val="00034322"/>
    <w:rsid w:val="00044DD2"/>
    <w:rsid w:val="00054EAD"/>
    <w:rsid w:val="00055166"/>
    <w:rsid w:val="00057301"/>
    <w:rsid w:val="0006070C"/>
    <w:rsid w:val="00060DE4"/>
    <w:rsid w:val="000621AB"/>
    <w:rsid w:val="0006274B"/>
    <w:rsid w:val="00062EEA"/>
    <w:rsid w:val="00065BC9"/>
    <w:rsid w:val="00066333"/>
    <w:rsid w:val="00066BD4"/>
    <w:rsid w:val="000768A5"/>
    <w:rsid w:val="00082A49"/>
    <w:rsid w:val="00083583"/>
    <w:rsid w:val="0008521A"/>
    <w:rsid w:val="00087B46"/>
    <w:rsid w:val="000A71E8"/>
    <w:rsid w:val="000B3B04"/>
    <w:rsid w:val="000B4308"/>
    <w:rsid w:val="000E2568"/>
    <w:rsid w:val="000F0BD5"/>
    <w:rsid w:val="000F1D61"/>
    <w:rsid w:val="000F3DE6"/>
    <w:rsid w:val="000F4C8F"/>
    <w:rsid w:val="001069B0"/>
    <w:rsid w:val="001130F3"/>
    <w:rsid w:val="00121113"/>
    <w:rsid w:val="001271FA"/>
    <w:rsid w:val="00127B5E"/>
    <w:rsid w:val="0013279F"/>
    <w:rsid w:val="00135C39"/>
    <w:rsid w:val="00142A31"/>
    <w:rsid w:val="00150849"/>
    <w:rsid w:val="001535EE"/>
    <w:rsid w:val="00172795"/>
    <w:rsid w:val="00184B8A"/>
    <w:rsid w:val="00190296"/>
    <w:rsid w:val="001909CA"/>
    <w:rsid w:val="00194254"/>
    <w:rsid w:val="00196386"/>
    <w:rsid w:val="0019656D"/>
    <w:rsid w:val="001A248A"/>
    <w:rsid w:val="001A5292"/>
    <w:rsid w:val="001C091F"/>
    <w:rsid w:val="001C3AA6"/>
    <w:rsid w:val="001D7FC6"/>
    <w:rsid w:val="001E128D"/>
    <w:rsid w:val="001E586C"/>
    <w:rsid w:val="00201626"/>
    <w:rsid w:val="00201E54"/>
    <w:rsid w:val="0020265E"/>
    <w:rsid w:val="0020493C"/>
    <w:rsid w:val="002053EC"/>
    <w:rsid w:val="002104B5"/>
    <w:rsid w:val="00213F41"/>
    <w:rsid w:val="0021685A"/>
    <w:rsid w:val="00220FDC"/>
    <w:rsid w:val="00231F94"/>
    <w:rsid w:val="00234C27"/>
    <w:rsid w:val="00234DDE"/>
    <w:rsid w:val="00237DFC"/>
    <w:rsid w:val="00241A28"/>
    <w:rsid w:val="00245F20"/>
    <w:rsid w:val="00250E48"/>
    <w:rsid w:val="0025329C"/>
    <w:rsid w:val="00253552"/>
    <w:rsid w:val="00254AF7"/>
    <w:rsid w:val="0025631A"/>
    <w:rsid w:val="002629B2"/>
    <w:rsid w:val="002727E6"/>
    <w:rsid w:val="002859B3"/>
    <w:rsid w:val="002A0718"/>
    <w:rsid w:val="002A5259"/>
    <w:rsid w:val="002A5CED"/>
    <w:rsid w:val="002B1C15"/>
    <w:rsid w:val="002B4C9E"/>
    <w:rsid w:val="002B74C5"/>
    <w:rsid w:val="002C0246"/>
    <w:rsid w:val="002C492D"/>
    <w:rsid w:val="002C7022"/>
    <w:rsid w:val="002D3558"/>
    <w:rsid w:val="002D6F7D"/>
    <w:rsid w:val="002D70FC"/>
    <w:rsid w:val="002E073D"/>
    <w:rsid w:val="002E4597"/>
    <w:rsid w:val="002E4CEF"/>
    <w:rsid w:val="002E7F04"/>
    <w:rsid w:val="002F4FDC"/>
    <w:rsid w:val="002F67C7"/>
    <w:rsid w:val="00300524"/>
    <w:rsid w:val="00313A34"/>
    <w:rsid w:val="00314089"/>
    <w:rsid w:val="003223F1"/>
    <w:rsid w:val="00327FEA"/>
    <w:rsid w:val="00331447"/>
    <w:rsid w:val="0033249D"/>
    <w:rsid w:val="003434F9"/>
    <w:rsid w:val="00343624"/>
    <w:rsid w:val="003447C3"/>
    <w:rsid w:val="00351AF1"/>
    <w:rsid w:val="00360E44"/>
    <w:rsid w:val="00374764"/>
    <w:rsid w:val="00375538"/>
    <w:rsid w:val="00390EC1"/>
    <w:rsid w:val="003A02E0"/>
    <w:rsid w:val="003A7EA6"/>
    <w:rsid w:val="003C6F0F"/>
    <w:rsid w:val="003D4D07"/>
    <w:rsid w:val="003E1D56"/>
    <w:rsid w:val="003E487D"/>
    <w:rsid w:val="003E7DB6"/>
    <w:rsid w:val="003F056B"/>
    <w:rsid w:val="003F4F6A"/>
    <w:rsid w:val="003F5209"/>
    <w:rsid w:val="004172FA"/>
    <w:rsid w:val="0042505E"/>
    <w:rsid w:val="00431855"/>
    <w:rsid w:val="00432FB4"/>
    <w:rsid w:val="004333AB"/>
    <w:rsid w:val="00441BB1"/>
    <w:rsid w:val="00443BBD"/>
    <w:rsid w:val="00451AD0"/>
    <w:rsid w:val="00457DF1"/>
    <w:rsid w:val="004628F9"/>
    <w:rsid w:val="00466B11"/>
    <w:rsid w:val="00467785"/>
    <w:rsid w:val="00476556"/>
    <w:rsid w:val="00480BD1"/>
    <w:rsid w:val="004817EF"/>
    <w:rsid w:val="0048316B"/>
    <w:rsid w:val="004865AA"/>
    <w:rsid w:val="004931A2"/>
    <w:rsid w:val="00495B7F"/>
    <w:rsid w:val="004A21FE"/>
    <w:rsid w:val="004A3C41"/>
    <w:rsid w:val="004B3371"/>
    <w:rsid w:val="004B3AA3"/>
    <w:rsid w:val="004B6C05"/>
    <w:rsid w:val="004C1467"/>
    <w:rsid w:val="004C3665"/>
    <w:rsid w:val="004C5B86"/>
    <w:rsid w:val="004E00AD"/>
    <w:rsid w:val="004E74E2"/>
    <w:rsid w:val="004E7681"/>
    <w:rsid w:val="004F002D"/>
    <w:rsid w:val="004F2379"/>
    <w:rsid w:val="00517FC5"/>
    <w:rsid w:val="00523972"/>
    <w:rsid w:val="005278A3"/>
    <w:rsid w:val="00533E39"/>
    <w:rsid w:val="005430B9"/>
    <w:rsid w:val="00547839"/>
    <w:rsid w:val="00560A1E"/>
    <w:rsid w:val="0057216A"/>
    <w:rsid w:val="00572F26"/>
    <w:rsid w:val="0057595B"/>
    <w:rsid w:val="00580541"/>
    <w:rsid w:val="00580F9F"/>
    <w:rsid w:val="00591589"/>
    <w:rsid w:val="005952CC"/>
    <w:rsid w:val="005A6D1E"/>
    <w:rsid w:val="005B6830"/>
    <w:rsid w:val="005C1216"/>
    <w:rsid w:val="005D779C"/>
    <w:rsid w:val="005E4097"/>
    <w:rsid w:val="005F27F3"/>
    <w:rsid w:val="005F4B48"/>
    <w:rsid w:val="00611A48"/>
    <w:rsid w:val="006143C0"/>
    <w:rsid w:val="006215E3"/>
    <w:rsid w:val="00623BA5"/>
    <w:rsid w:val="00625F52"/>
    <w:rsid w:val="00635C7E"/>
    <w:rsid w:val="00636C7E"/>
    <w:rsid w:val="00637065"/>
    <w:rsid w:val="006378A4"/>
    <w:rsid w:val="00641035"/>
    <w:rsid w:val="006458AB"/>
    <w:rsid w:val="00647271"/>
    <w:rsid w:val="006612F6"/>
    <w:rsid w:val="00661FE0"/>
    <w:rsid w:val="0066383B"/>
    <w:rsid w:val="00667B95"/>
    <w:rsid w:val="006716F7"/>
    <w:rsid w:val="0067369E"/>
    <w:rsid w:val="00677051"/>
    <w:rsid w:val="006836A3"/>
    <w:rsid w:val="00696628"/>
    <w:rsid w:val="006A01EF"/>
    <w:rsid w:val="006A092D"/>
    <w:rsid w:val="006B4EA3"/>
    <w:rsid w:val="006B7BF3"/>
    <w:rsid w:val="006B7E97"/>
    <w:rsid w:val="006D35C6"/>
    <w:rsid w:val="006E5044"/>
    <w:rsid w:val="006F3A61"/>
    <w:rsid w:val="006F65BF"/>
    <w:rsid w:val="0070137B"/>
    <w:rsid w:val="007018A6"/>
    <w:rsid w:val="00702683"/>
    <w:rsid w:val="00710E74"/>
    <w:rsid w:val="00716224"/>
    <w:rsid w:val="00720CA9"/>
    <w:rsid w:val="00721557"/>
    <w:rsid w:val="007247F3"/>
    <w:rsid w:val="00732290"/>
    <w:rsid w:val="00734901"/>
    <w:rsid w:val="007433DA"/>
    <w:rsid w:val="00747FE0"/>
    <w:rsid w:val="00762EE4"/>
    <w:rsid w:val="0076485D"/>
    <w:rsid w:val="00770C5A"/>
    <w:rsid w:val="007807DE"/>
    <w:rsid w:val="007824F4"/>
    <w:rsid w:val="00785264"/>
    <w:rsid w:val="007910C1"/>
    <w:rsid w:val="007A234B"/>
    <w:rsid w:val="007A4F00"/>
    <w:rsid w:val="007A6827"/>
    <w:rsid w:val="007B0E66"/>
    <w:rsid w:val="007B18F3"/>
    <w:rsid w:val="007C4E33"/>
    <w:rsid w:val="007C5918"/>
    <w:rsid w:val="007C654D"/>
    <w:rsid w:val="007D02E1"/>
    <w:rsid w:val="007D20C4"/>
    <w:rsid w:val="007D25F2"/>
    <w:rsid w:val="007D4C3F"/>
    <w:rsid w:val="007D4CB9"/>
    <w:rsid w:val="007E2CA8"/>
    <w:rsid w:val="007E467F"/>
    <w:rsid w:val="007F6D77"/>
    <w:rsid w:val="008101D8"/>
    <w:rsid w:val="00814288"/>
    <w:rsid w:val="008150DD"/>
    <w:rsid w:val="00834BA6"/>
    <w:rsid w:val="008354FD"/>
    <w:rsid w:val="008358D3"/>
    <w:rsid w:val="00837ABE"/>
    <w:rsid w:val="00837DFE"/>
    <w:rsid w:val="00861B5D"/>
    <w:rsid w:val="00861F76"/>
    <w:rsid w:val="00893FDC"/>
    <w:rsid w:val="00894276"/>
    <w:rsid w:val="00894877"/>
    <w:rsid w:val="008A0997"/>
    <w:rsid w:val="008B083A"/>
    <w:rsid w:val="008C0899"/>
    <w:rsid w:val="008C6943"/>
    <w:rsid w:val="008D3CD6"/>
    <w:rsid w:val="008D54C2"/>
    <w:rsid w:val="008E1DFC"/>
    <w:rsid w:val="008E2A3B"/>
    <w:rsid w:val="008E4C15"/>
    <w:rsid w:val="008E62AE"/>
    <w:rsid w:val="008F5B0C"/>
    <w:rsid w:val="00901097"/>
    <w:rsid w:val="00901102"/>
    <w:rsid w:val="009122CB"/>
    <w:rsid w:val="00926517"/>
    <w:rsid w:val="009363A3"/>
    <w:rsid w:val="00937A9E"/>
    <w:rsid w:val="0095067D"/>
    <w:rsid w:val="00954079"/>
    <w:rsid w:val="00956423"/>
    <w:rsid w:val="00962449"/>
    <w:rsid w:val="0096280C"/>
    <w:rsid w:val="00963F6B"/>
    <w:rsid w:val="009652BD"/>
    <w:rsid w:val="009678F4"/>
    <w:rsid w:val="00972841"/>
    <w:rsid w:val="00972C3E"/>
    <w:rsid w:val="009801B1"/>
    <w:rsid w:val="009860A8"/>
    <w:rsid w:val="009949B0"/>
    <w:rsid w:val="0099576C"/>
    <w:rsid w:val="009A5ED9"/>
    <w:rsid w:val="009B7192"/>
    <w:rsid w:val="009C1BF7"/>
    <w:rsid w:val="009D63DA"/>
    <w:rsid w:val="009E6F35"/>
    <w:rsid w:val="009F56C1"/>
    <w:rsid w:val="009F5827"/>
    <w:rsid w:val="00A03B5E"/>
    <w:rsid w:val="00A063F7"/>
    <w:rsid w:val="00A10077"/>
    <w:rsid w:val="00A116D3"/>
    <w:rsid w:val="00A116E9"/>
    <w:rsid w:val="00A2378A"/>
    <w:rsid w:val="00A25173"/>
    <w:rsid w:val="00A32D94"/>
    <w:rsid w:val="00A42BAD"/>
    <w:rsid w:val="00A53CC4"/>
    <w:rsid w:val="00A61949"/>
    <w:rsid w:val="00A66622"/>
    <w:rsid w:val="00A66916"/>
    <w:rsid w:val="00A76D3E"/>
    <w:rsid w:val="00A805CB"/>
    <w:rsid w:val="00A8537D"/>
    <w:rsid w:val="00A90108"/>
    <w:rsid w:val="00A915B7"/>
    <w:rsid w:val="00AA09B2"/>
    <w:rsid w:val="00AB59A1"/>
    <w:rsid w:val="00AC6CCA"/>
    <w:rsid w:val="00AC72B5"/>
    <w:rsid w:val="00AF4E5B"/>
    <w:rsid w:val="00AF7938"/>
    <w:rsid w:val="00B00B52"/>
    <w:rsid w:val="00B11107"/>
    <w:rsid w:val="00B17BA4"/>
    <w:rsid w:val="00B205B6"/>
    <w:rsid w:val="00B2382B"/>
    <w:rsid w:val="00B36390"/>
    <w:rsid w:val="00B47540"/>
    <w:rsid w:val="00B57A5C"/>
    <w:rsid w:val="00B617DA"/>
    <w:rsid w:val="00B65DF1"/>
    <w:rsid w:val="00B6605F"/>
    <w:rsid w:val="00B66252"/>
    <w:rsid w:val="00B72C24"/>
    <w:rsid w:val="00B84463"/>
    <w:rsid w:val="00B8779E"/>
    <w:rsid w:val="00B91FF3"/>
    <w:rsid w:val="00BA6E05"/>
    <w:rsid w:val="00BB2E94"/>
    <w:rsid w:val="00BC2399"/>
    <w:rsid w:val="00BC32B7"/>
    <w:rsid w:val="00BC40BF"/>
    <w:rsid w:val="00BD5E50"/>
    <w:rsid w:val="00BE6795"/>
    <w:rsid w:val="00BE78CC"/>
    <w:rsid w:val="00BE7D3C"/>
    <w:rsid w:val="00BF0B6D"/>
    <w:rsid w:val="00BF4AA3"/>
    <w:rsid w:val="00BF7284"/>
    <w:rsid w:val="00C0339B"/>
    <w:rsid w:val="00C164CC"/>
    <w:rsid w:val="00C1750C"/>
    <w:rsid w:val="00C201B5"/>
    <w:rsid w:val="00C21EF2"/>
    <w:rsid w:val="00C317DA"/>
    <w:rsid w:val="00C35463"/>
    <w:rsid w:val="00C36729"/>
    <w:rsid w:val="00C55D0F"/>
    <w:rsid w:val="00C56EC6"/>
    <w:rsid w:val="00C6084D"/>
    <w:rsid w:val="00C60FAC"/>
    <w:rsid w:val="00C65F1C"/>
    <w:rsid w:val="00C66BA0"/>
    <w:rsid w:val="00C85487"/>
    <w:rsid w:val="00C913A1"/>
    <w:rsid w:val="00C91B4C"/>
    <w:rsid w:val="00C92D1B"/>
    <w:rsid w:val="00C96400"/>
    <w:rsid w:val="00C96C74"/>
    <w:rsid w:val="00CA328C"/>
    <w:rsid w:val="00CA346E"/>
    <w:rsid w:val="00CA3EDC"/>
    <w:rsid w:val="00CA4977"/>
    <w:rsid w:val="00CA4A42"/>
    <w:rsid w:val="00CA6D62"/>
    <w:rsid w:val="00CB3933"/>
    <w:rsid w:val="00CC2482"/>
    <w:rsid w:val="00CC4723"/>
    <w:rsid w:val="00CC7C01"/>
    <w:rsid w:val="00CE2700"/>
    <w:rsid w:val="00CE39C2"/>
    <w:rsid w:val="00CF1A97"/>
    <w:rsid w:val="00D00D5D"/>
    <w:rsid w:val="00D02DEB"/>
    <w:rsid w:val="00D04986"/>
    <w:rsid w:val="00D16632"/>
    <w:rsid w:val="00D24237"/>
    <w:rsid w:val="00D27D10"/>
    <w:rsid w:val="00D30F1F"/>
    <w:rsid w:val="00D32176"/>
    <w:rsid w:val="00D33E14"/>
    <w:rsid w:val="00D350C0"/>
    <w:rsid w:val="00D37419"/>
    <w:rsid w:val="00D42DF9"/>
    <w:rsid w:val="00D45D89"/>
    <w:rsid w:val="00D71043"/>
    <w:rsid w:val="00D75EFB"/>
    <w:rsid w:val="00D82749"/>
    <w:rsid w:val="00DA0FA2"/>
    <w:rsid w:val="00DA1DE5"/>
    <w:rsid w:val="00DA1E1D"/>
    <w:rsid w:val="00DB1803"/>
    <w:rsid w:val="00DC0E5A"/>
    <w:rsid w:val="00DC6427"/>
    <w:rsid w:val="00DD0CDB"/>
    <w:rsid w:val="00DD4C5B"/>
    <w:rsid w:val="00DE18C9"/>
    <w:rsid w:val="00DE7F6D"/>
    <w:rsid w:val="00DF675E"/>
    <w:rsid w:val="00E00076"/>
    <w:rsid w:val="00E1271E"/>
    <w:rsid w:val="00E141C2"/>
    <w:rsid w:val="00E22A96"/>
    <w:rsid w:val="00E238CF"/>
    <w:rsid w:val="00E37B90"/>
    <w:rsid w:val="00E42D22"/>
    <w:rsid w:val="00E507A3"/>
    <w:rsid w:val="00E50A8D"/>
    <w:rsid w:val="00E53819"/>
    <w:rsid w:val="00E61173"/>
    <w:rsid w:val="00E625E5"/>
    <w:rsid w:val="00E656EA"/>
    <w:rsid w:val="00E6730B"/>
    <w:rsid w:val="00E90763"/>
    <w:rsid w:val="00E92450"/>
    <w:rsid w:val="00EA4F5B"/>
    <w:rsid w:val="00EA54AD"/>
    <w:rsid w:val="00EB2FE4"/>
    <w:rsid w:val="00EB7667"/>
    <w:rsid w:val="00ED5F26"/>
    <w:rsid w:val="00EE4A49"/>
    <w:rsid w:val="00EE6050"/>
    <w:rsid w:val="00EF240C"/>
    <w:rsid w:val="00F01DE1"/>
    <w:rsid w:val="00F07756"/>
    <w:rsid w:val="00F0788F"/>
    <w:rsid w:val="00F11E79"/>
    <w:rsid w:val="00F12548"/>
    <w:rsid w:val="00F20360"/>
    <w:rsid w:val="00F26D26"/>
    <w:rsid w:val="00F32411"/>
    <w:rsid w:val="00F37649"/>
    <w:rsid w:val="00F62FB6"/>
    <w:rsid w:val="00F64F0E"/>
    <w:rsid w:val="00F666B6"/>
    <w:rsid w:val="00F73853"/>
    <w:rsid w:val="00F74BD8"/>
    <w:rsid w:val="00F776EA"/>
    <w:rsid w:val="00F84DA2"/>
    <w:rsid w:val="00F91FAA"/>
    <w:rsid w:val="00FB092B"/>
    <w:rsid w:val="00FB30E6"/>
    <w:rsid w:val="00FB4AAA"/>
    <w:rsid w:val="00FC132B"/>
    <w:rsid w:val="00FC422D"/>
    <w:rsid w:val="00FD16C2"/>
    <w:rsid w:val="00FD4987"/>
    <w:rsid w:val="00FD4D46"/>
    <w:rsid w:val="00FE2A88"/>
    <w:rsid w:val="00FE64CA"/>
    <w:rsid w:val="00FE6C79"/>
    <w:rsid w:val="00FF6313"/>
    <w:rsid w:val="00FF677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E7BFF7"/>
  <w15:docId w15:val="{BC641AE8-20CA-4C16-9E08-8A97F16E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pPr>
      <w:keepNext/>
      <w:outlineLvl w:val="0"/>
    </w:pPr>
    <w:rPr>
      <w:b/>
      <w:sz w:val="36"/>
    </w:rPr>
  </w:style>
  <w:style w:type="paragraph" w:styleId="Heading2">
    <w:name w:val="heading 2"/>
    <w:basedOn w:val="Normal"/>
    <w:next w:val="Normal"/>
    <w:pPr>
      <w:keepNext/>
      <w:spacing w:before="240" w:after="60"/>
      <w:outlineLvl w:val="1"/>
    </w:pPr>
    <w:rPr>
      <w:rFonts w:ascii="Arial" w:hAnsi="Arial"/>
      <w:b/>
      <w:i/>
    </w:rPr>
  </w:style>
  <w:style w:type="paragraph" w:styleId="Heading3">
    <w:name w:val="heading 3"/>
    <w:basedOn w:val="Heading2"/>
    <w:next w:val="Normal"/>
    <w:pPr>
      <w:keepNext w:val="0"/>
      <w:widowControl w:val="0"/>
      <w:spacing w:before="120" w:after="0"/>
      <w:outlineLvl w:val="2"/>
    </w:pPr>
    <w:rPr>
      <w:rFonts w:ascii="Times New Roman" w:hAnsi="Times New Roman"/>
      <w:i w:val="0"/>
      <w:kern w:val="32"/>
    </w:rPr>
  </w:style>
  <w:style w:type="paragraph" w:styleId="Heading4">
    <w:name w:val="heading 4"/>
    <w:basedOn w:val="Normal"/>
    <w:next w:val="Normal"/>
    <w:pPr>
      <w:keepNext/>
      <w:jc w:val="center"/>
      <w:outlineLvl w:val="3"/>
    </w:pPr>
    <w:rPr>
      <w:b/>
      <w:sz w:val="28"/>
    </w:rPr>
  </w:style>
  <w:style w:type="paragraph" w:styleId="Heading5">
    <w:name w:val="heading 5"/>
    <w:basedOn w:val="Normal"/>
    <w:next w:val="Normal"/>
    <w:pPr>
      <w:keepNext/>
      <w:ind w:left="360"/>
      <w:jc w:val="center"/>
      <w:outlineLvl w:val="4"/>
    </w:pPr>
    <w:rPr>
      <w:b/>
      <w:sz w:val="28"/>
    </w:rPr>
  </w:style>
  <w:style w:type="paragraph" w:styleId="Heading6">
    <w:name w:val="heading 6"/>
    <w:basedOn w:val="Normal"/>
    <w:next w:val="Normal"/>
    <w:pPr>
      <w:keepNext/>
      <w:jc w:val="center"/>
      <w:outlineLvl w:val="5"/>
    </w:pPr>
    <w:rPr>
      <w:rFonts w:ascii="Arial" w:hAnsi="Arial"/>
      <w:b/>
      <w:sz w:val="28"/>
      <w:u w:val="single"/>
    </w:rPr>
  </w:style>
  <w:style w:type="paragraph" w:styleId="Heading7">
    <w:name w:val="heading 7"/>
    <w:basedOn w:val="Normal"/>
    <w:next w:val="Normal"/>
    <w:pPr>
      <w:keepNext/>
      <w:spacing w:before="120"/>
      <w:outlineLvl w:val="6"/>
    </w:pPr>
    <w:rPr>
      <w:b/>
      <w:u w:val="single"/>
    </w:rPr>
  </w:style>
  <w:style w:type="paragraph" w:styleId="Heading8">
    <w:name w:val="heading 8"/>
    <w:basedOn w:val="Normal"/>
    <w:next w:val="Normal"/>
    <w:pPr>
      <w:keepNext/>
      <w:spacing w:before="120"/>
      <w:outlineLvl w:val="7"/>
    </w:pPr>
    <w:rPr>
      <w:i/>
      <w:u w:val="single"/>
    </w:rPr>
  </w:style>
  <w:style w:type="paragraph" w:styleId="Heading9">
    <w:name w:val="heading 9"/>
    <w:basedOn w:val="Normal"/>
    <w:next w:val="Normal"/>
    <w:pPr>
      <w:keepNext/>
      <w:spacing w:before="120"/>
      <w:jc w:val="both"/>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List">
    <w:name w:val="List"/>
    <w:basedOn w:val="Normal"/>
    <w:semiHidden/>
    <w:pPr>
      <w:numPr>
        <w:numId w:val="1"/>
      </w:numPr>
    </w:pPr>
  </w:style>
  <w:style w:type="paragraph" w:styleId="BodyText">
    <w:name w:val="Body Text"/>
    <w:basedOn w:val="Normal"/>
    <w:link w:val="BodyTextChar"/>
    <w:pPr>
      <w:jc w:val="both"/>
    </w:pPr>
  </w:style>
  <w:style w:type="paragraph" w:customStyle="1" w:styleId="Styl1">
    <w:name w:val="Styl1"/>
    <w:basedOn w:val="Normal"/>
    <w:pPr>
      <w:spacing w:before="60"/>
    </w:pPr>
    <w:rPr>
      <w:rFonts w:ascii="Arial" w:hAnsi="Arial"/>
      <w:b/>
      <w:u w:val="single"/>
    </w:rPr>
  </w:style>
  <w:style w:type="paragraph" w:customStyle="1" w:styleId="Styl2">
    <w:name w:val="Styl2"/>
    <w:basedOn w:val="Normal"/>
    <w:pPr>
      <w:spacing w:after="60"/>
      <w:ind w:left="1078" w:hanging="227"/>
      <w:jc w:val="both"/>
    </w:pPr>
    <w:rPr>
      <w:rFonts w:ascii="Arial" w:hAnsi="Arial"/>
      <w:sz w:val="22"/>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semiHidden/>
    <w:pPr>
      <w:ind w:left="426" w:hanging="426"/>
    </w:pPr>
  </w:style>
  <w:style w:type="paragraph" w:styleId="BodyTextIndent2">
    <w:name w:val="Body Text Indent 2"/>
    <w:basedOn w:val="Normal"/>
    <w:semiHidden/>
    <w:pPr>
      <w:widowControl w:val="0"/>
      <w:ind w:left="709" w:hanging="409"/>
    </w:pPr>
    <w:rPr>
      <w:snapToGrid w:val="0"/>
    </w:rPr>
  </w:style>
  <w:style w:type="paragraph" w:styleId="BodyTextIndent3">
    <w:name w:val="Body Text Indent 3"/>
    <w:basedOn w:val="Normal"/>
    <w:semiHidden/>
    <w:pPr>
      <w:spacing w:before="120"/>
      <w:ind w:left="426" w:hanging="426"/>
      <w:jc w:val="both"/>
    </w:pPr>
    <w:rPr>
      <w:rFonts w:ascii="Arial" w:hAnsi="Arial"/>
    </w:rPr>
  </w:style>
  <w:style w:type="paragraph" w:styleId="BodyText2">
    <w:name w:val="Body Text 2"/>
    <w:basedOn w:val="Normal"/>
    <w:link w:val="BodyText2Char"/>
    <w:semiHidden/>
    <w:pPr>
      <w:jc w:val="both"/>
    </w:pPr>
  </w:style>
  <w:style w:type="paragraph" w:styleId="BodyText3">
    <w:name w:val="Body Text 3"/>
    <w:basedOn w:val="Normal"/>
    <w:semiHidden/>
    <w:pPr>
      <w:widowControl w:val="0"/>
      <w:jc w:val="center"/>
    </w:pPr>
    <w:rPr>
      <w:rFonts w:ascii="Arial" w:hAnsi="Arial"/>
      <w:b/>
      <w:sz w:val="32"/>
      <w:u w:val="single"/>
    </w:rPr>
  </w:style>
  <w:style w:type="character" w:styleId="Hyperlink">
    <w:name w:val="Hyperlink"/>
    <w:uiPriority w:val="99"/>
    <w:rPr>
      <w:color w:val="0000FF"/>
      <w:u w:val="single"/>
    </w:rPr>
  </w:style>
  <w:style w:type="paragraph" w:customStyle="1" w:styleId="tabul">
    <w:name w:val="tabul"/>
    <w:basedOn w:val="Normal"/>
    <w:pPr>
      <w:tabs>
        <w:tab w:val="left" w:pos="794"/>
        <w:tab w:val="left" w:pos="1361"/>
        <w:tab w:val="left" w:pos="1814"/>
        <w:tab w:val="left" w:pos="6236"/>
      </w:tabs>
      <w:jc w:val="both"/>
    </w:pPr>
    <w:rPr>
      <w:rFonts w:ascii="New York" w:hAnsi="New York"/>
      <w:noProof/>
      <w:sz w:val="20"/>
    </w:rPr>
  </w:style>
  <w:style w:type="paragraph" w:styleId="BalloonText">
    <w:name w:val="Balloon Text"/>
    <w:basedOn w:val="Normal"/>
    <w:link w:val="BalloonTextChar"/>
    <w:uiPriority w:val="99"/>
    <w:semiHidden/>
    <w:unhideWhenUsed/>
    <w:rsid w:val="00770C5A"/>
    <w:rPr>
      <w:rFonts w:ascii="Tahoma" w:hAnsi="Tahoma" w:cs="Tahoma"/>
      <w:sz w:val="16"/>
      <w:szCs w:val="16"/>
    </w:rPr>
  </w:style>
  <w:style w:type="character" w:customStyle="1" w:styleId="BalloonTextChar">
    <w:name w:val="Balloon Text Char"/>
    <w:link w:val="BalloonText"/>
    <w:uiPriority w:val="99"/>
    <w:semiHidden/>
    <w:rsid w:val="00770C5A"/>
    <w:rPr>
      <w:rFonts w:ascii="Tahoma" w:hAnsi="Tahoma" w:cs="Tahoma"/>
      <w:sz w:val="16"/>
      <w:szCs w:val="16"/>
    </w:rPr>
  </w:style>
  <w:style w:type="character" w:customStyle="1" w:styleId="HeaderChar">
    <w:name w:val="Header Char"/>
    <w:link w:val="Header"/>
    <w:uiPriority w:val="99"/>
    <w:rsid w:val="00083583"/>
    <w:rPr>
      <w:sz w:val="24"/>
    </w:rPr>
  </w:style>
  <w:style w:type="character" w:customStyle="1" w:styleId="FooterChar">
    <w:name w:val="Footer Char"/>
    <w:link w:val="Footer"/>
    <w:uiPriority w:val="99"/>
    <w:rsid w:val="00234C27"/>
    <w:rPr>
      <w:sz w:val="24"/>
    </w:rPr>
  </w:style>
  <w:style w:type="character" w:styleId="CommentReference">
    <w:name w:val="annotation reference"/>
    <w:uiPriority w:val="99"/>
    <w:semiHidden/>
    <w:unhideWhenUsed/>
    <w:rsid w:val="009D63DA"/>
    <w:rPr>
      <w:sz w:val="16"/>
      <w:szCs w:val="16"/>
    </w:rPr>
  </w:style>
  <w:style w:type="paragraph" w:styleId="CommentText">
    <w:name w:val="annotation text"/>
    <w:basedOn w:val="Normal"/>
    <w:link w:val="CommentTextChar"/>
    <w:uiPriority w:val="99"/>
    <w:unhideWhenUsed/>
    <w:rsid w:val="009D63DA"/>
    <w:rPr>
      <w:sz w:val="20"/>
    </w:rPr>
  </w:style>
  <w:style w:type="character" w:customStyle="1" w:styleId="CommentTextChar">
    <w:name w:val="Comment Text Char"/>
    <w:basedOn w:val="DefaultParagraphFont"/>
    <w:link w:val="CommentText"/>
    <w:uiPriority w:val="99"/>
    <w:rsid w:val="009D63DA"/>
  </w:style>
  <w:style w:type="paragraph" w:styleId="CommentSubject">
    <w:name w:val="annotation subject"/>
    <w:basedOn w:val="CommentText"/>
    <w:next w:val="CommentText"/>
    <w:link w:val="CommentSubjectChar"/>
    <w:uiPriority w:val="99"/>
    <w:semiHidden/>
    <w:unhideWhenUsed/>
    <w:rsid w:val="009D63DA"/>
    <w:rPr>
      <w:b/>
      <w:bCs/>
    </w:rPr>
  </w:style>
  <w:style w:type="character" w:customStyle="1" w:styleId="CommentSubjectChar">
    <w:name w:val="Comment Subject Char"/>
    <w:link w:val="CommentSubject"/>
    <w:uiPriority w:val="99"/>
    <w:semiHidden/>
    <w:rsid w:val="009D63DA"/>
    <w:rPr>
      <w:b/>
      <w:bCs/>
    </w:rPr>
  </w:style>
  <w:style w:type="paragraph" w:customStyle="1" w:styleId="VAst">
    <w:name w:val="VA_část"/>
    <w:basedOn w:val="Normal"/>
    <w:link w:val="VAstChar"/>
    <w:qFormat/>
    <w:rsid w:val="00314089"/>
    <w:pPr>
      <w:keepNext/>
      <w:numPr>
        <w:numId w:val="4"/>
      </w:numPr>
      <w:spacing w:before="240"/>
      <w:jc w:val="center"/>
      <w:outlineLvl w:val="0"/>
    </w:pPr>
    <w:rPr>
      <w:rFonts w:ascii="Arial Black" w:hAnsi="Arial Black"/>
      <w:caps/>
      <w:sz w:val="32"/>
      <w:u w:val="single"/>
    </w:rPr>
  </w:style>
  <w:style w:type="table" w:styleId="TableGrid">
    <w:name w:val="Table Grid"/>
    <w:basedOn w:val="TableNormal"/>
    <w:uiPriority w:val="59"/>
    <w:rsid w:val="004E00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lnek">
    <w:name w:val="VA_článek"/>
    <w:link w:val="VAlnekChar"/>
    <w:qFormat/>
    <w:rsid w:val="00314089"/>
    <w:pPr>
      <w:keepNext/>
      <w:numPr>
        <w:numId w:val="5"/>
      </w:numPr>
      <w:spacing w:before="480"/>
      <w:jc w:val="center"/>
      <w:outlineLvl w:val="1"/>
    </w:pPr>
    <w:rPr>
      <w:rFonts w:ascii="Arial Black" w:hAnsi="Arial Black"/>
      <w:sz w:val="32"/>
      <w:u w:val="single"/>
    </w:rPr>
  </w:style>
  <w:style w:type="paragraph" w:customStyle="1" w:styleId="VAbod">
    <w:name w:val="VA_bod"/>
    <w:basedOn w:val="BodyText"/>
    <w:link w:val="VAbodChar"/>
    <w:qFormat/>
    <w:rsid w:val="00314089"/>
    <w:pPr>
      <w:numPr>
        <w:numId w:val="6"/>
      </w:numPr>
      <w:spacing w:before="120"/>
    </w:pPr>
    <w:rPr>
      <w:rFonts w:ascii="Arial" w:hAnsi="Arial"/>
    </w:rPr>
  </w:style>
  <w:style w:type="character" w:customStyle="1" w:styleId="VAstChar">
    <w:name w:val="VA_část Char"/>
    <w:link w:val="VAst"/>
    <w:rsid w:val="00314089"/>
    <w:rPr>
      <w:rFonts w:ascii="Arial Black" w:hAnsi="Arial Black"/>
      <w:caps/>
      <w:sz w:val="32"/>
      <w:u w:val="single"/>
    </w:rPr>
  </w:style>
  <w:style w:type="character" w:customStyle="1" w:styleId="BodyTextChar">
    <w:name w:val="Body Text Char"/>
    <w:link w:val="BodyText"/>
    <w:rsid w:val="00E00076"/>
    <w:rPr>
      <w:sz w:val="24"/>
    </w:rPr>
  </w:style>
  <w:style w:type="character" w:customStyle="1" w:styleId="VAbodChar">
    <w:name w:val="VA_bod Char"/>
    <w:link w:val="VAbod"/>
    <w:rsid w:val="00314089"/>
    <w:rPr>
      <w:rFonts w:ascii="Arial" w:hAnsi="Arial"/>
      <w:sz w:val="24"/>
    </w:rPr>
  </w:style>
  <w:style w:type="paragraph" w:customStyle="1" w:styleId="VAvarovneoznamenitext">
    <w:name w:val="VA_varovne oznameni text"/>
    <w:link w:val="VAvarovneoznamenitextChar"/>
    <w:qFormat/>
    <w:rsid w:val="00314089"/>
    <w:pPr>
      <w:widowControl w:val="0"/>
      <w:spacing w:after="60" w:line="240" w:lineRule="atLeast"/>
      <w:jc w:val="both"/>
    </w:pPr>
    <w:rPr>
      <w:rFonts w:ascii="Verdana" w:hAnsi="Verdana"/>
      <w:sz w:val="16"/>
    </w:rPr>
  </w:style>
  <w:style w:type="character" w:customStyle="1" w:styleId="VAlnekChar">
    <w:name w:val="VA_článek Char"/>
    <w:link w:val="VAlnek"/>
    <w:rsid w:val="00314089"/>
    <w:rPr>
      <w:rFonts w:ascii="Arial Black" w:hAnsi="Arial Black"/>
      <w:sz w:val="32"/>
      <w:u w:val="single"/>
    </w:rPr>
  </w:style>
  <w:style w:type="paragraph" w:customStyle="1" w:styleId="VApojem">
    <w:name w:val="VA_pojem"/>
    <w:basedOn w:val="BodyText"/>
    <w:link w:val="VApojemChar"/>
    <w:qFormat/>
    <w:rsid w:val="003434F9"/>
    <w:pPr>
      <w:numPr>
        <w:numId w:val="2"/>
      </w:numPr>
      <w:spacing w:before="120"/>
    </w:pPr>
    <w:rPr>
      <w:rFonts w:ascii="Arial" w:hAnsi="Arial"/>
    </w:rPr>
  </w:style>
  <w:style w:type="paragraph" w:customStyle="1" w:styleId="VApsmeno">
    <w:name w:val="VA_písmeno"/>
    <w:basedOn w:val="VAbod"/>
    <w:link w:val="VApsmenoChar"/>
    <w:qFormat/>
    <w:rsid w:val="00314089"/>
    <w:pPr>
      <w:numPr>
        <w:ilvl w:val="1"/>
      </w:numPr>
    </w:pPr>
  </w:style>
  <w:style w:type="character" w:customStyle="1" w:styleId="VApojemChar">
    <w:name w:val="VA_pojem Char"/>
    <w:link w:val="VApojem"/>
    <w:rsid w:val="003434F9"/>
    <w:rPr>
      <w:rFonts w:ascii="Arial" w:hAnsi="Arial"/>
      <w:sz w:val="24"/>
    </w:rPr>
  </w:style>
  <w:style w:type="paragraph" w:customStyle="1" w:styleId="VAodrka">
    <w:name w:val="VA_odrážka"/>
    <w:basedOn w:val="VAbod"/>
    <w:link w:val="VAodrkaChar"/>
    <w:qFormat/>
    <w:rsid w:val="00314089"/>
    <w:pPr>
      <w:numPr>
        <w:ilvl w:val="2"/>
      </w:numPr>
    </w:pPr>
  </w:style>
  <w:style w:type="character" w:customStyle="1" w:styleId="VApsmenoChar">
    <w:name w:val="VA_písmeno Char"/>
    <w:link w:val="VApsmeno"/>
    <w:rsid w:val="00314089"/>
    <w:rPr>
      <w:rFonts w:ascii="Arial" w:hAnsi="Arial"/>
      <w:sz w:val="24"/>
    </w:rPr>
  </w:style>
  <w:style w:type="paragraph" w:customStyle="1" w:styleId="VAplohanadpis">
    <w:name w:val="VA_příloha nadpis"/>
    <w:basedOn w:val="Normal"/>
    <w:link w:val="VAplohanadpisChar"/>
    <w:qFormat/>
    <w:rsid w:val="00314089"/>
    <w:pPr>
      <w:pageBreakBefore/>
      <w:spacing w:before="360" w:after="480"/>
      <w:jc w:val="center"/>
    </w:pPr>
    <w:rPr>
      <w:rFonts w:ascii="Arial" w:hAnsi="Arial" w:cs="Arial"/>
      <w:b/>
      <w:u w:val="single"/>
    </w:rPr>
  </w:style>
  <w:style w:type="character" w:customStyle="1" w:styleId="VAodrkaChar">
    <w:name w:val="VA_odrážka Char"/>
    <w:link w:val="VAodrka"/>
    <w:rsid w:val="00314089"/>
    <w:rPr>
      <w:rFonts w:ascii="Arial" w:hAnsi="Arial"/>
      <w:sz w:val="24"/>
    </w:rPr>
  </w:style>
  <w:style w:type="character" w:customStyle="1" w:styleId="VAplohanadpisChar">
    <w:name w:val="VA_příloha nadpis Char"/>
    <w:link w:val="VAplohanadpis"/>
    <w:rsid w:val="00314089"/>
    <w:rPr>
      <w:rFonts w:ascii="Arial" w:hAnsi="Arial" w:cs="Arial"/>
      <w:b/>
      <w:sz w:val="24"/>
      <w:u w:val="single"/>
    </w:rPr>
  </w:style>
  <w:style w:type="character" w:customStyle="1" w:styleId="VAvarovneoznamenitextChar">
    <w:name w:val="VA_varovne oznameni text Char"/>
    <w:link w:val="VAvarovneoznamenitext"/>
    <w:rsid w:val="00314089"/>
    <w:rPr>
      <w:rFonts w:ascii="Verdana" w:hAnsi="Verdana"/>
      <w:sz w:val="16"/>
    </w:rPr>
  </w:style>
  <w:style w:type="table" w:customStyle="1" w:styleId="SM-TabulkaSvisl">
    <w:name w:val="SM-TabulkaSvislá"/>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
    <w:name w:val="SM-"/>
    <w:uiPriority w:val="99"/>
    <w:rsid w:val="00F84DA2"/>
    <w:pPr>
      <w:numPr>
        <w:numId w:val="3"/>
      </w:numPr>
    </w:pPr>
  </w:style>
  <w:style w:type="table" w:customStyle="1" w:styleId="SM-TabulkaSvisl1">
    <w:name w:val="SM-TabulkaSvislá1"/>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1">
    <w:name w:val="SM-1"/>
    <w:uiPriority w:val="99"/>
    <w:rsid w:val="00F84DA2"/>
  </w:style>
  <w:style w:type="paragraph" w:styleId="TOC1">
    <w:name w:val="toc 1"/>
    <w:basedOn w:val="Normal"/>
    <w:next w:val="Normal"/>
    <w:autoRedefine/>
    <w:uiPriority w:val="39"/>
    <w:unhideWhenUsed/>
    <w:rsid w:val="007C4E33"/>
    <w:pPr>
      <w:spacing w:before="360"/>
    </w:pPr>
    <w:rPr>
      <w:rFonts w:ascii="Calibri Light" w:hAnsi="Calibri Light" w:cs="Calibri Light"/>
      <w:b/>
      <w:bCs/>
      <w:caps/>
      <w:szCs w:val="24"/>
    </w:rPr>
  </w:style>
  <w:style w:type="paragraph" w:styleId="TOC2">
    <w:name w:val="toc 2"/>
    <w:basedOn w:val="Normal"/>
    <w:next w:val="Normal"/>
    <w:autoRedefine/>
    <w:uiPriority w:val="39"/>
    <w:unhideWhenUsed/>
    <w:rsid w:val="007C4E33"/>
    <w:pPr>
      <w:spacing w:before="240"/>
    </w:pPr>
    <w:rPr>
      <w:rFonts w:ascii="Calibri" w:hAnsi="Calibri" w:cs="Calibri"/>
      <w:b/>
      <w:bCs/>
      <w:sz w:val="20"/>
    </w:rPr>
  </w:style>
  <w:style w:type="paragraph" w:styleId="TOC3">
    <w:name w:val="toc 3"/>
    <w:basedOn w:val="Normal"/>
    <w:next w:val="Normal"/>
    <w:autoRedefine/>
    <w:uiPriority w:val="39"/>
    <w:unhideWhenUsed/>
    <w:rsid w:val="007C4E33"/>
    <w:pPr>
      <w:ind w:left="240"/>
    </w:pPr>
    <w:rPr>
      <w:rFonts w:ascii="Calibri" w:hAnsi="Calibri" w:cs="Calibri"/>
      <w:sz w:val="20"/>
    </w:rPr>
  </w:style>
  <w:style w:type="paragraph" w:styleId="TOC4">
    <w:name w:val="toc 4"/>
    <w:basedOn w:val="Normal"/>
    <w:next w:val="Normal"/>
    <w:autoRedefine/>
    <w:uiPriority w:val="39"/>
    <w:unhideWhenUsed/>
    <w:rsid w:val="007C4E33"/>
    <w:pPr>
      <w:ind w:left="480"/>
    </w:pPr>
    <w:rPr>
      <w:rFonts w:ascii="Calibri" w:hAnsi="Calibri" w:cs="Calibri"/>
      <w:sz w:val="20"/>
    </w:rPr>
  </w:style>
  <w:style w:type="paragraph" w:styleId="TOC5">
    <w:name w:val="toc 5"/>
    <w:basedOn w:val="Normal"/>
    <w:next w:val="Normal"/>
    <w:autoRedefine/>
    <w:uiPriority w:val="39"/>
    <w:unhideWhenUsed/>
    <w:rsid w:val="007C4E33"/>
    <w:pPr>
      <w:ind w:left="720"/>
    </w:pPr>
    <w:rPr>
      <w:rFonts w:ascii="Calibri" w:hAnsi="Calibri" w:cs="Calibri"/>
      <w:sz w:val="20"/>
    </w:rPr>
  </w:style>
  <w:style w:type="paragraph" w:styleId="TOC6">
    <w:name w:val="toc 6"/>
    <w:basedOn w:val="Normal"/>
    <w:next w:val="Normal"/>
    <w:autoRedefine/>
    <w:uiPriority w:val="39"/>
    <w:unhideWhenUsed/>
    <w:rsid w:val="007C4E33"/>
    <w:pPr>
      <w:ind w:left="960"/>
    </w:pPr>
    <w:rPr>
      <w:rFonts w:ascii="Calibri" w:hAnsi="Calibri" w:cs="Calibri"/>
      <w:sz w:val="20"/>
    </w:rPr>
  </w:style>
  <w:style w:type="paragraph" w:styleId="TOC7">
    <w:name w:val="toc 7"/>
    <w:basedOn w:val="Normal"/>
    <w:next w:val="Normal"/>
    <w:autoRedefine/>
    <w:uiPriority w:val="39"/>
    <w:unhideWhenUsed/>
    <w:rsid w:val="007C4E33"/>
    <w:pPr>
      <w:ind w:left="1200"/>
    </w:pPr>
    <w:rPr>
      <w:rFonts w:ascii="Calibri" w:hAnsi="Calibri" w:cs="Calibri"/>
      <w:sz w:val="20"/>
    </w:rPr>
  </w:style>
  <w:style w:type="paragraph" w:styleId="TOC8">
    <w:name w:val="toc 8"/>
    <w:basedOn w:val="Normal"/>
    <w:next w:val="Normal"/>
    <w:autoRedefine/>
    <w:uiPriority w:val="39"/>
    <w:unhideWhenUsed/>
    <w:rsid w:val="007C4E33"/>
    <w:pPr>
      <w:ind w:left="1440"/>
    </w:pPr>
    <w:rPr>
      <w:rFonts w:ascii="Calibri" w:hAnsi="Calibri" w:cs="Calibri"/>
      <w:sz w:val="20"/>
    </w:rPr>
  </w:style>
  <w:style w:type="paragraph" w:styleId="TOC9">
    <w:name w:val="toc 9"/>
    <w:basedOn w:val="Normal"/>
    <w:next w:val="Normal"/>
    <w:autoRedefine/>
    <w:uiPriority w:val="39"/>
    <w:unhideWhenUsed/>
    <w:rsid w:val="007C4E33"/>
    <w:pPr>
      <w:ind w:left="1680"/>
    </w:pPr>
    <w:rPr>
      <w:rFonts w:ascii="Calibri" w:hAnsi="Calibri" w:cs="Calibri"/>
      <w:sz w:val="20"/>
    </w:rPr>
  </w:style>
  <w:style w:type="paragraph" w:styleId="ListParagraph">
    <w:name w:val="List Paragraph"/>
    <w:basedOn w:val="Normal"/>
    <w:uiPriority w:val="34"/>
    <w:rsid w:val="00E238CF"/>
    <w:pPr>
      <w:ind w:left="720"/>
      <w:contextualSpacing/>
    </w:pPr>
  </w:style>
  <w:style w:type="paragraph" w:customStyle="1" w:styleId="VAlnekbezcisla">
    <w:name w:val="VA_článek_bez cisla"/>
    <w:basedOn w:val="VAlnek"/>
    <w:link w:val="VAlnekbezcislaChar"/>
    <w:qFormat/>
    <w:rsid w:val="00314089"/>
    <w:pPr>
      <w:numPr>
        <w:numId w:val="0"/>
      </w:numPr>
      <w:ind w:left="680"/>
    </w:pPr>
  </w:style>
  <w:style w:type="paragraph" w:styleId="FootnoteText">
    <w:name w:val="footnote text"/>
    <w:basedOn w:val="Normal"/>
    <w:link w:val="FootnoteTextChar"/>
    <w:uiPriority w:val="99"/>
    <w:semiHidden/>
    <w:unhideWhenUsed/>
    <w:rsid w:val="004F002D"/>
    <w:rPr>
      <w:sz w:val="20"/>
    </w:rPr>
  </w:style>
  <w:style w:type="character" w:customStyle="1" w:styleId="VAlnekbezcislaChar">
    <w:name w:val="VA_článek_bez cisla Char"/>
    <w:basedOn w:val="VAlnekChar"/>
    <w:link w:val="VAlnekbezcisla"/>
    <w:rsid w:val="00314089"/>
    <w:rPr>
      <w:rFonts w:ascii="Arial Black" w:hAnsi="Arial Black"/>
      <w:sz w:val="32"/>
      <w:u w:val="single"/>
    </w:rPr>
  </w:style>
  <w:style w:type="character" w:customStyle="1" w:styleId="FootnoteTextChar">
    <w:name w:val="Footnote Text Char"/>
    <w:basedOn w:val="DefaultParagraphFont"/>
    <w:link w:val="FootnoteText"/>
    <w:uiPriority w:val="99"/>
    <w:semiHidden/>
    <w:rsid w:val="004F002D"/>
  </w:style>
  <w:style w:type="character" w:styleId="FootnoteReference">
    <w:name w:val="footnote reference"/>
    <w:basedOn w:val="DefaultParagraphFont"/>
    <w:uiPriority w:val="99"/>
    <w:semiHidden/>
    <w:unhideWhenUsed/>
    <w:rsid w:val="004F002D"/>
    <w:rPr>
      <w:vertAlign w:val="superscript"/>
    </w:rPr>
  </w:style>
  <w:style w:type="paragraph" w:styleId="EndnoteText">
    <w:name w:val="endnote text"/>
    <w:basedOn w:val="Normal"/>
    <w:link w:val="EndnoteTextChar"/>
    <w:uiPriority w:val="99"/>
    <w:semiHidden/>
    <w:unhideWhenUsed/>
    <w:rsid w:val="004F002D"/>
    <w:rPr>
      <w:sz w:val="20"/>
    </w:rPr>
  </w:style>
  <w:style w:type="character" w:customStyle="1" w:styleId="EndnoteTextChar">
    <w:name w:val="Endnote Text Char"/>
    <w:basedOn w:val="DefaultParagraphFont"/>
    <w:link w:val="EndnoteText"/>
    <w:uiPriority w:val="99"/>
    <w:semiHidden/>
    <w:rsid w:val="004F002D"/>
  </w:style>
  <w:style w:type="character" w:styleId="EndnoteReference">
    <w:name w:val="endnote reference"/>
    <w:basedOn w:val="DefaultParagraphFont"/>
    <w:uiPriority w:val="99"/>
    <w:semiHidden/>
    <w:unhideWhenUsed/>
    <w:rsid w:val="004F002D"/>
    <w:rPr>
      <w:vertAlign w:val="superscript"/>
    </w:rPr>
  </w:style>
  <w:style w:type="character" w:styleId="FollowedHyperlink">
    <w:name w:val="FollowedHyperlink"/>
    <w:basedOn w:val="DefaultParagraphFont"/>
    <w:uiPriority w:val="99"/>
    <w:semiHidden/>
    <w:unhideWhenUsed/>
    <w:rsid w:val="004931A2"/>
    <w:rPr>
      <w:color w:val="800080" w:themeColor="followedHyperlink"/>
      <w:u w:val="single"/>
    </w:rPr>
  </w:style>
  <w:style w:type="character" w:customStyle="1" w:styleId="VAtun">
    <w:name w:val="VA_tučný"/>
    <w:uiPriority w:val="1"/>
    <w:rsid w:val="00314089"/>
    <w:rPr>
      <w:b/>
    </w:rPr>
  </w:style>
  <w:style w:type="paragraph" w:customStyle="1" w:styleId="VAtabzahlavi">
    <w:name w:val="VA_tabzahlavi"/>
    <w:basedOn w:val="VAbod"/>
    <w:link w:val="VAtabzahlaviChar"/>
    <w:qFormat/>
    <w:rsid w:val="00314089"/>
    <w:pPr>
      <w:numPr>
        <w:numId w:val="0"/>
      </w:numPr>
      <w:jc w:val="center"/>
    </w:pPr>
    <w:rPr>
      <w:rFonts w:cs="Arial"/>
      <w:b/>
    </w:rPr>
  </w:style>
  <w:style w:type="paragraph" w:customStyle="1" w:styleId="VAtabtext">
    <w:name w:val="VA_tabtext"/>
    <w:basedOn w:val="VAbod"/>
    <w:link w:val="VAtabtextChar"/>
    <w:qFormat/>
    <w:rsid w:val="00963F6B"/>
    <w:pPr>
      <w:numPr>
        <w:numId w:val="0"/>
      </w:numPr>
      <w:jc w:val="left"/>
    </w:pPr>
    <w:rPr>
      <w:rFonts w:eastAsia="Calibri" w:cs="Arial"/>
      <w:sz w:val="16"/>
      <w:szCs w:val="16"/>
    </w:rPr>
  </w:style>
  <w:style w:type="character" w:customStyle="1" w:styleId="VAtabzahlaviChar">
    <w:name w:val="VA_tabzahlavi Char"/>
    <w:basedOn w:val="VAbodChar"/>
    <w:link w:val="VAtabzahlavi"/>
    <w:rsid w:val="00314089"/>
    <w:rPr>
      <w:rFonts w:ascii="Arial" w:hAnsi="Arial" w:cs="Arial"/>
      <w:b/>
      <w:sz w:val="24"/>
    </w:rPr>
  </w:style>
  <w:style w:type="character" w:customStyle="1" w:styleId="VAtabtextChar">
    <w:name w:val="VA_tabtext Char"/>
    <w:basedOn w:val="VAbodChar"/>
    <w:link w:val="VAtabtext"/>
    <w:rsid w:val="00963F6B"/>
    <w:rPr>
      <w:rFonts w:ascii="Arial" w:eastAsia="Calibri" w:hAnsi="Arial" w:cs="Arial"/>
      <w:sz w:val="16"/>
      <w:szCs w:val="16"/>
    </w:rPr>
  </w:style>
  <w:style w:type="paragraph" w:customStyle="1" w:styleId="VAtextmaly">
    <w:name w:val="VA_text_maly"/>
    <w:basedOn w:val="BodyText2"/>
    <w:link w:val="VAtextmalyChar"/>
    <w:qFormat/>
    <w:rsid w:val="00055166"/>
    <w:pPr>
      <w:jc w:val="center"/>
    </w:pPr>
    <w:rPr>
      <w:rFonts w:ascii="Arial" w:hAnsi="Arial"/>
      <w:sz w:val="16"/>
      <w:szCs w:val="16"/>
    </w:rPr>
  </w:style>
  <w:style w:type="paragraph" w:customStyle="1" w:styleId="VAtext">
    <w:name w:val="VA_text"/>
    <w:basedOn w:val="BodyText2"/>
    <w:link w:val="VAtextChar"/>
    <w:qFormat/>
    <w:rsid w:val="00055166"/>
    <w:rPr>
      <w:rFonts w:ascii="Arial" w:hAnsi="Arial"/>
    </w:rPr>
  </w:style>
  <w:style w:type="character" w:customStyle="1" w:styleId="BodyText2Char">
    <w:name w:val="Body Text 2 Char"/>
    <w:basedOn w:val="DefaultParagraphFont"/>
    <w:link w:val="BodyText2"/>
    <w:semiHidden/>
    <w:rsid w:val="00055166"/>
    <w:rPr>
      <w:sz w:val="24"/>
    </w:rPr>
  </w:style>
  <w:style w:type="character" w:customStyle="1" w:styleId="VAtextmalyChar">
    <w:name w:val="VA_text_maly Char"/>
    <w:basedOn w:val="BodyText2Char"/>
    <w:link w:val="VAtextmaly"/>
    <w:rsid w:val="00055166"/>
    <w:rPr>
      <w:rFonts w:ascii="Arial" w:hAnsi="Arial"/>
      <w:sz w:val="16"/>
      <w:szCs w:val="16"/>
    </w:rPr>
  </w:style>
  <w:style w:type="paragraph" w:customStyle="1" w:styleId="VAnadpis">
    <w:name w:val="VA_nadpis"/>
    <w:basedOn w:val="BodyText2"/>
    <w:link w:val="VAnadpisChar"/>
    <w:qFormat/>
    <w:rsid w:val="00055166"/>
    <w:pPr>
      <w:spacing w:after="120"/>
    </w:pPr>
    <w:rPr>
      <w:rFonts w:ascii="Arial" w:hAnsi="Arial"/>
      <w:b/>
      <w:kern w:val="32"/>
    </w:rPr>
  </w:style>
  <w:style w:type="character" w:customStyle="1" w:styleId="VAtextChar">
    <w:name w:val="VA_text Char"/>
    <w:basedOn w:val="BodyText2Char"/>
    <w:link w:val="VAtext"/>
    <w:rsid w:val="00055166"/>
    <w:rPr>
      <w:rFonts w:ascii="Arial" w:hAnsi="Arial"/>
      <w:sz w:val="24"/>
    </w:rPr>
  </w:style>
  <w:style w:type="character" w:customStyle="1" w:styleId="VAnadpisChar">
    <w:name w:val="VA_nadpis Char"/>
    <w:basedOn w:val="BodyText2Char"/>
    <w:link w:val="VAnadpis"/>
    <w:rsid w:val="00055166"/>
    <w:rPr>
      <w:rFonts w:ascii="Arial" w:hAnsi="Arial"/>
      <w:b/>
      <w:kern w:val="32"/>
      <w:sz w:val="24"/>
    </w:rPr>
  </w:style>
  <w:style w:type="paragraph" w:customStyle="1" w:styleId="Normln1">
    <w:name w:val="Normální1"/>
    <w:basedOn w:val="Normal"/>
    <w:rsid w:val="00314089"/>
    <w:pPr>
      <w:spacing w:before="100" w:beforeAutospacing="1" w:after="100" w:afterAutospacing="1"/>
    </w:pPr>
    <w:rPr>
      <w:szCs w:val="24"/>
    </w:rPr>
  </w:style>
  <w:style w:type="paragraph" w:customStyle="1" w:styleId="VAbezbod">
    <w:name w:val="VA_bezbod"/>
    <w:basedOn w:val="VAtext"/>
    <w:link w:val="VAbezbodChar"/>
    <w:qFormat/>
    <w:rsid w:val="00314089"/>
  </w:style>
  <w:style w:type="character" w:customStyle="1" w:styleId="VAbezbodChar">
    <w:name w:val="VA_bezbod Char"/>
    <w:basedOn w:val="VAtextChar"/>
    <w:link w:val="VAbezbod"/>
    <w:rsid w:val="003140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3536">
      <w:bodyDiv w:val="1"/>
      <w:marLeft w:val="0"/>
      <w:marRight w:val="0"/>
      <w:marTop w:val="0"/>
      <w:marBottom w:val="0"/>
      <w:divBdr>
        <w:top w:val="none" w:sz="0" w:space="0" w:color="auto"/>
        <w:left w:val="none" w:sz="0" w:space="0" w:color="auto"/>
        <w:bottom w:val="none" w:sz="0" w:space="0" w:color="auto"/>
        <w:right w:val="none" w:sz="0" w:space="0" w:color="auto"/>
      </w:divBdr>
    </w:div>
    <w:div w:id="578252480">
      <w:bodyDiv w:val="1"/>
      <w:marLeft w:val="0"/>
      <w:marRight w:val="0"/>
      <w:marTop w:val="0"/>
      <w:marBottom w:val="0"/>
      <w:divBdr>
        <w:top w:val="none" w:sz="0" w:space="0" w:color="auto"/>
        <w:left w:val="none" w:sz="0" w:space="0" w:color="auto"/>
        <w:bottom w:val="none" w:sz="0" w:space="0" w:color="auto"/>
        <w:right w:val="none" w:sz="0" w:space="0" w:color="auto"/>
      </w:divBdr>
    </w:div>
    <w:div w:id="608971952">
      <w:bodyDiv w:val="1"/>
      <w:marLeft w:val="0"/>
      <w:marRight w:val="0"/>
      <w:marTop w:val="0"/>
      <w:marBottom w:val="0"/>
      <w:divBdr>
        <w:top w:val="none" w:sz="0" w:space="0" w:color="auto"/>
        <w:left w:val="none" w:sz="0" w:space="0" w:color="auto"/>
        <w:bottom w:val="none" w:sz="0" w:space="0" w:color="auto"/>
        <w:right w:val="none" w:sz="0" w:space="0" w:color="auto"/>
      </w:divBdr>
    </w:div>
    <w:div w:id="845631881">
      <w:bodyDiv w:val="1"/>
      <w:marLeft w:val="0"/>
      <w:marRight w:val="0"/>
      <w:marTop w:val="0"/>
      <w:marBottom w:val="0"/>
      <w:divBdr>
        <w:top w:val="none" w:sz="0" w:space="0" w:color="auto"/>
        <w:left w:val="none" w:sz="0" w:space="0" w:color="auto"/>
        <w:bottom w:val="none" w:sz="0" w:space="0" w:color="auto"/>
        <w:right w:val="none" w:sz="0" w:space="0" w:color="auto"/>
      </w:divBdr>
    </w:div>
    <w:div w:id="1449663902">
      <w:bodyDiv w:val="1"/>
      <w:marLeft w:val="0"/>
      <w:marRight w:val="0"/>
      <w:marTop w:val="0"/>
      <w:marBottom w:val="0"/>
      <w:divBdr>
        <w:top w:val="none" w:sz="0" w:space="0" w:color="auto"/>
        <w:left w:val="none" w:sz="0" w:space="0" w:color="auto"/>
        <w:bottom w:val="none" w:sz="0" w:space="0" w:color="auto"/>
        <w:right w:val="none" w:sz="0" w:space="0" w:color="auto"/>
      </w:divBdr>
    </w:div>
    <w:div w:id="1673021561">
      <w:bodyDiv w:val="1"/>
      <w:marLeft w:val="0"/>
      <w:marRight w:val="0"/>
      <w:marTop w:val="0"/>
      <w:marBottom w:val="0"/>
      <w:divBdr>
        <w:top w:val="none" w:sz="0" w:space="0" w:color="auto"/>
        <w:left w:val="none" w:sz="0" w:space="0" w:color="auto"/>
        <w:bottom w:val="none" w:sz="0" w:space="0" w:color="auto"/>
        <w:right w:val="none" w:sz="0" w:space="0" w:color="auto"/>
      </w:divBdr>
    </w:div>
    <w:div w:id="1675185517">
      <w:bodyDiv w:val="1"/>
      <w:marLeft w:val="0"/>
      <w:marRight w:val="0"/>
      <w:marTop w:val="0"/>
      <w:marBottom w:val="0"/>
      <w:divBdr>
        <w:top w:val="none" w:sz="0" w:space="0" w:color="auto"/>
        <w:left w:val="none" w:sz="0" w:space="0" w:color="auto"/>
        <w:bottom w:val="none" w:sz="0" w:space="0" w:color="auto"/>
        <w:right w:val="none" w:sz="0" w:space="0" w:color="auto"/>
      </w:divBdr>
    </w:div>
    <w:div w:id="1880126844">
      <w:bodyDiv w:val="1"/>
      <w:marLeft w:val="0"/>
      <w:marRight w:val="0"/>
      <w:marTop w:val="0"/>
      <w:marBottom w:val="0"/>
      <w:divBdr>
        <w:top w:val="none" w:sz="0" w:space="0" w:color="auto"/>
        <w:left w:val="none" w:sz="0" w:space="0" w:color="auto"/>
        <w:bottom w:val="none" w:sz="0" w:space="0" w:color="auto"/>
        <w:right w:val="none" w:sz="0" w:space="0" w:color="auto"/>
      </w:divBdr>
    </w:div>
    <w:div w:id="20574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3B64-ABD7-43CF-AEDA-2B6E2906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3314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Vítkovice, a.s.</Company>
  <LinksUpToDate>false</LinksUpToDate>
  <CharactersWithSpaces>3874</CharactersWithSpaces>
  <SharedDoc>false</SharedDoc>
  <HLinks>
    <vt:vector size="252" baseType="variant">
      <vt:variant>
        <vt:i4>721012</vt:i4>
      </vt:variant>
      <vt:variant>
        <vt:i4>231</vt:i4>
      </vt:variant>
      <vt:variant>
        <vt:i4>0</vt:i4>
      </vt:variant>
      <vt:variant>
        <vt:i4>5</vt:i4>
      </vt:variant>
      <vt:variant>
        <vt:lpwstr>mailto:ova@arena-vitkovice.cz</vt:lpwstr>
      </vt:variant>
      <vt:variant>
        <vt:lpwstr/>
      </vt:variant>
      <vt:variant>
        <vt:i4>721012</vt:i4>
      </vt:variant>
      <vt:variant>
        <vt:i4>228</vt:i4>
      </vt:variant>
      <vt:variant>
        <vt:i4>0</vt:i4>
      </vt:variant>
      <vt:variant>
        <vt:i4>5</vt:i4>
      </vt:variant>
      <vt:variant>
        <vt:lpwstr>mailto:ova@arena-vitkovice.cz</vt:lpwstr>
      </vt:variant>
      <vt:variant>
        <vt:lpwstr/>
      </vt:variant>
      <vt:variant>
        <vt:i4>7667765</vt:i4>
      </vt:variant>
      <vt:variant>
        <vt:i4>225</vt:i4>
      </vt:variant>
      <vt:variant>
        <vt:i4>0</vt:i4>
      </vt:variant>
      <vt:variant>
        <vt:i4>5</vt:i4>
      </vt:variant>
      <vt:variant>
        <vt:lpwstr>http://www.vitkovice-arena.cz/gdpr</vt:lpwstr>
      </vt:variant>
      <vt:variant>
        <vt:lpwstr/>
      </vt:variant>
      <vt:variant>
        <vt:i4>1245236</vt:i4>
      </vt:variant>
      <vt:variant>
        <vt:i4>218</vt:i4>
      </vt:variant>
      <vt:variant>
        <vt:i4>0</vt:i4>
      </vt:variant>
      <vt:variant>
        <vt:i4>5</vt:i4>
      </vt:variant>
      <vt:variant>
        <vt:lpwstr/>
      </vt:variant>
      <vt:variant>
        <vt:lpwstr>_Toc34225705</vt:lpwstr>
      </vt:variant>
      <vt:variant>
        <vt:i4>1179700</vt:i4>
      </vt:variant>
      <vt:variant>
        <vt:i4>212</vt:i4>
      </vt:variant>
      <vt:variant>
        <vt:i4>0</vt:i4>
      </vt:variant>
      <vt:variant>
        <vt:i4>5</vt:i4>
      </vt:variant>
      <vt:variant>
        <vt:lpwstr/>
      </vt:variant>
      <vt:variant>
        <vt:lpwstr>_Toc34225704</vt:lpwstr>
      </vt:variant>
      <vt:variant>
        <vt:i4>1376308</vt:i4>
      </vt:variant>
      <vt:variant>
        <vt:i4>206</vt:i4>
      </vt:variant>
      <vt:variant>
        <vt:i4>0</vt:i4>
      </vt:variant>
      <vt:variant>
        <vt:i4>5</vt:i4>
      </vt:variant>
      <vt:variant>
        <vt:lpwstr/>
      </vt:variant>
      <vt:variant>
        <vt:lpwstr>_Toc34225703</vt:lpwstr>
      </vt:variant>
      <vt:variant>
        <vt:i4>1310772</vt:i4>
      </vt:variant>
      <vt:variant>
        <vt:i4>200</vt:i4>
      </vt:variant>
      <vt:variant>
        <vt:i4>0</vt:i4>
      </vt:variant>
      <vt:variant>
        <vt:i4>5</vt:i4>
      </vt:variant>
      <vt:variant>
        <vt:lpwstr/>
      </vt:variant>
      <vt:variant>
        <vt:lpwstr>_Toc34225702</vt:lpwstr>
      </vt:variant>
      <vt:variant>
        <vt:i4>1507380</vt:i4>
      </vt:variant>
      <vt:variant>
        <vt:i4>194</vt:i4>
      </vt:variant>
      <vt:variant>
        <vt:i4>0</vt:i4>
      </vt:variant>
      <vt:variant>
        <vt:i4>5</vt:i4>
      </vt:variant>
      <vt:variant>
        <vt:lpwstr/>
      </vt:variant>
      <vt:variant>
        <vt:lpwstr>_Toc34225701</vt:lpwstr>
      </vt:variant>
      <vt:variant>
        <vt:i4>1441844</vt:i4>
      </vt:variant>
      <vt:variant>
        <vt:i4>188</vt:i4>
      </vt:variant>
      <vt:variant>
        <vt:i4>0</vt:i4>
      </vt:variant>
      <vt:variant>
        <vt:i4>5</vt:i4>
      </vt:variant>
      <vt:variant>
        <vt:lpwstr/>
      </vt:variant>
      <vt:variant>
        <vt:lpwstr>_Toc34225700</vt:lpwstr>
      </vt:variant>
      <vt:variant>
        <vt:i4>1966141</vt:i4>
      </vt:variant>
      <vt:variant>
        <vt:i4>182</vt:i4>
      </vt:variant>
      <vt:variant>
        <vt:i4>0</vt:i4>
      </vt:variant>
      <vt:variant>
        <vt:i4>5</vt:i4>
      </vt:variant>
      <vt:variant>
        <vt:lpwstr/>
      </vt:variant>
      <vt:variant>
        <vt:lpwstr>_Toc34225699</vt:lpwstr>
      </vt:variant>
      <vt:variant>
        <vt:i4>2031677</vt:i4>
      </vt:variant>
      <vt:variant>
        <vt:i4>176</vt:i4>
      </vt:variant>
      <vt:variant>
        <vt:i4>0</vt:i4>
      </vt:variant>
      <vt:variant>
        <vt:i4>5</vt:i4>
      </vt:variant>
      <vt:variant>
        <vt:lpwstr/>
      </vt:variant>
      <vt:variant>
        <vt:lpwstr>_Toc34225698</vt:lpwstr>
      </vt:variant>
      <vt:variant>
        <vt:i4>1048637</vt:i4>
      </vt:variant>
      <vt:variant>
        <vt:i4>170</vt:i4>
      </vt:variant>
      <vt:variant>
        <vt:i4>0</vt:i4>
      </vt:variant>
      <vt:variant>
        <vt:i4>5</vt:i4>
      </vt:variant>
      <vt:variant>
        <vt:lpwstr/>
      </vt:variant>
      <vt:variant>
        <vt:lpwstr>_Toc34225697</vt:lpwstr>
      </vt:variant>
      <vt:variant>
        <vt:i4>1114173</vt:i4>
      </vt:variant>
      <vt:variant>
        <vt:i4>164</vt:i4>
      </vt:variant>
      <vt:variant>
        <vt:i4>0</vt:i4>
      </vt:variant>
      <vt:variant>
        <vt:i4>5</vt:i4>
      </vt:variant>
      <vt:variant>
        <vt:lpwstr/>
      </vt:variant>
      <vt:variant>
        <vt:lpwstr>_Toc34225696</vt:lpwstr>
      </vt:variant>
      <vt:variant>
        <vt:i4>1179709</vt:i4>
      </vt:variant>
      <vt:variant>
        <vt:i4>158</vt:i4>
      </vt:variant>
      <vt:variant>
        <vt:i4>0</vt:i4>
      </vt:variant>
      <vt:variant>
        <vt:i4>5</vt:i4>
      </vt:variant>
      <vt:variant>
        <vt:lpwstr/>
      </vt:variant>
      <vt:variant>
        <vt:lpwstr>_Toc34225695</vt:lpwstr>
      </vt:variant>
      <vt:variant>
        <vt:i4>1245245</vt:i4>
      </vt:variant>
      <vt:variant>
        <vt:i4>152</vt:i4>
      </vt:variant>
      <vt:variant>
        <vt:i4>0</vt:i4>
      </vt:variant>
      <vt:variant>
        <vt:i4>5</vt:i4>
      </vt:variant>
      <vt:variant>
        <vt:lpwstr/>
      </vt:variant>
      <vt:variant>
        <vt:lpwstr>_Toc34225694</vt:lpwstr>
      </vt:variant>
      <vt:variant>
        <vt:i4>1310781</vt:i4>
      </vt:variant>
      <vt:variant>
        <vt:i4>146</vt:i4>
      </vt:variant>
      <vt:variant>
        <vt:i4>0</vt:i4>
      </vt:variant>
      <vt:variant>
        <vt:i4>5</vt:i4>
      </vt:variant>
      <vt:variant>
        <vt:lpwstr/>
      </vt:variant>
      <vt:variant>
        <vt:lpwstr>_Toc34225693</vt:lpwstr>
      </vt:variant>
      <vt:variant>
        <vt:i4>1376317</vt:i4>
      </vt:variant>
      <vt:variant>
        <vt:i4>140</vt:i4>
      </vt:variant>
      <vt:variant>
        <vt:i4>0</vt:i4>
      </vt:variant>
      <vt:variant>
        <vt:i4>5</vt:i4>
      </vt:variant>
      <vt:variant>
        <vt:lpwstr/>
      </vt:variant>
      <vt:variant>
        <vt:lpwstr>_Toc34225692</vt:lpwstr>
      </vt:variant>
      <vt:variant>
        <vt:i4>1441853</vt:i4>
      </vt:variant>
      <vt:variant>
        <vt:i4>134</vt:i4>
      </vt:variant>
      <vt:variant>
        <vt:i4>0</vt:i4>
      </vt:variant>
      <vt:variant>
        <vt:i4>5</vt:i4>
      </vt:variant>
      <vt:variant>
        <vt:lpwstr/>
      </vt:variant>
      <vt:variant>
        <vt:lpwstr>_Toc34225691</vt:lpwstr>
      </vt:variant>
      <vt:variant>
        <vt:i4>1507389</vt:i4>
      </vt:variant>
      <vt:variant>
        <vt:i4>128</vt:i4>
      </vt:variant>
      <vt:variant>
        <vt:i4>0</vt:i4>
      </vt:variant>
      <vt:variant>
        <vt:i4>5</vt:i4>
      </vt:variant>
      <vt:variant>
        <vt:lpwstr/>
      </vt:variant>
      <vt:variant>
        <vt:lpwstr>_Toc34225690</vt:lpwstr>
      </vt:variant>
      <vt:variant>
        <vt:i4>1966140</vt:i4>
      </vt:variant>
      <vt:variant>
        <vt:i4>122</vt:i4>
      </vt:variant>
      <vt:variant>
        <vt:i4>0</vt:i4>
      </vt:variant>
      <vt:variant>
        <vt:i4>5</vt:i4>
      </vt:variant>
      <vt:variant>
        <vt:lpwstr/>
      </vt:variant>
      <vt:variant>
        <vt:lpwstr>_Toc34225689</vt:lpwstr>
      </vt:variant>
      <vt:variant>
        <vt:i4>2031676</vt:i4>
      </vt:variant>
      <vt:variant>
        <vt:i4>116</vt:i4>
      </vt:variant>
      <vt:variant>
        <vt:i4>0</vt:i4>
      </vt:variant>
      <vt:variant>
        <vt:i4>5</vt:i4>
      </vt:variant>
      <vt:variant>
        <vt:lpwstr/>
      </vt:variant>
      <vt:variant>
        <vt:lpwstr>_Toc34225688</vt:lpwstr>
      </vt:variant>
      <vt:variant>
        <vt:i4>1048636</vt:i4>
      </vt:variant>
      <vt:variant>
        <vt:i4>110</vt:i4>
      </vt:variant>
      <vt:variant>
        <vt:i4>0</vt:i4>
      </vt:variant>
      <vt:variant>
        <vt:i4>5</vt:i4>
      </vt:variant>
      <vt:variant>
        <vt:lpwstr/>
      </vt:variant>
      <vt:variant>
        <vt:lpwstr>_Toc34225687</vt:lpwstr>
      </vt:variant>
      <vt:variant>
        <vt:i4>1114172</vt:i4>
      </vt:variant>
      <vt:variant>
        <vt:i4>104</vt:i4>
      </vt:variant>
      <vt:variant>
        <vt:i4>0</vt:i4>
      </vt:variant>
      <vt:variant>
        <vt:i4>5</vt:i4>
      </vt:variant>
      <vt:variant>
        <vt:lpwstr/>
      </vt:variant>
      <vt:variant>
        <vt:lpwstr>_Toc34225686</vt:lpwstr>
      </vt:variant>
      <vt:variant>
        <vt:i4>1179708</vt:i4>
      </vt:variant>
      <vt:variant>
        <vt:i4>98</vt:i4>
      </vt:variant>
      <vt:variant>
        <vt:i4>0</vt:i4>
      </vt:variant>
      <vt:variant>
        <vt:i4>5</vt:i4>
      </vt:variant>
      <vt:variant>
        <vt:lpwstr/>
      </vt:variant>
      <vt:variant>
        <vt:lpwstr>_Toc34225685</vt:lpwstr>
      </vt:variant>
      <vt:variant>
        <vt:i4>1245244</vt:i4>
      </vt:variant>
      <vt:variant>
        <vt:i4>92</vt:i4>
      </vt:variant>
      <vt:variant>
        <vt:i4>0</vt:i4>
      </vt:variant>
      <vt:variant>
        <vt:i4>5</vt:i4>
      </vt:variant>
      <vt:variant>
        <vt:lpwstr/>
      </vt:variant>
      <vt:variant>
        <vt:lpwstr>_Toc34225684</vt:lpwstr>
      </vt:variant>
      <vt:variant>
        <vt:i4>1310780</vt:i4>
      </vt:variant>
      <vt:variant>
        <vt:i4>86</vt:i4>
      </vt:variant>
      <vt:variant>
        <vt:i4>0</vt:i4>
      </vt:variant>
      <vt:variant>
        <vt:i4>5</vt:i4>
      </vt:variant>
      <vt:variant>
        <vt:lpwstr/>
      </vt:variant>
      <vt:variant>
        <vt:lpwstr>_Toc34225683</vt:lpwstr>
      </vt:variant>
      <vt:variant>
        <vt:i4>1376316</vt:i4>
      </vt:variant>
      <vt:variant>
        <vt:i4>80</vt:i4>
      </vt:variant>
      <vt:variant>
        <vt:i4>0</vt:i4>
      </vt:variant>
      <vt:variant>
        <vt:i4>5</vt:i4>
      </vt:variant>
      <vt:variant>
        <vt:lpwstr/>
      </vt:variant>
      <vt:variant>
        <vt:lpwstr>_Toc34225682</vt:lpwstr>
      </vt:variant>
      <vt:variant>
        <vt:i4>1441852</vt:i4>
      </vt:variant>
      <vt:variant>
        <vt:i4>74</vt:i4>
      </vt:variant>
      <vt:variant>
        <vt:i4>0</vt:i4>
      </vt:variant>
      <vt:variant>
        <vt:i4>5</vt:i4>
      </vt:variant>
      <vt:variant>
        <vt:lpwstr/>
      </vt:variant>
      <vt:variant>
        <vt:lpwstr>_Toc34225681</vt:lpwstr>
      </vt:variant>
      <vt:variant>
        <vt:i4>1507388</vt:i4>
      </vt:variant>
      <vt:variant>
        <vt:i4>68</vt:i4>
      </vt:variant>
      <vt:variant>
        <vt:i4>0</vt:i4>
      </vt:variant>
      <vt:variant>
        <vt:i4>5</vt:i4>
      </vt:variant>
      <vt:variant>
        <vt:lpwstr/>
      </vt:variant>
      <vt:variant>
        <vt:lpwstr>_Toc34225680</vt:lpwstr>
      </vt:variant>
      <vt:variant>
        <vt:i4>1966131</vt:i4>
      </vt:variant>
      <vt:variant>
        <vt:i4>62</vt:i4>
      </vt:variant>
      <vt:variant>
        <vt:i4>0</vt:i4>
      </vt:variant>
      <vt:variant>
        <vt:i4>5</vt:i4>
      </vt:variant>
      <vt:variant>
        <vt:lpwstr/>
      </vt:variant>
      <vt:variant>
        <vt:lpwstr>_Toc34225679</vt:lpwstr>
      </vt:variant>
      <vt:variant>
        <vt:i4>2031667</vt:i4>
      </vt:variant>
      <vt:variant>
        <vt:i4>56</vt:i4>
      </vt:variant>
      <vt:variant>
        <vt:i4>0</vt:i4>
      </vt:variant>
      <vt:variant>
        <vt:i4>5</vt:i4>
      </vt:variant>
      <vt:variant>
        <vt:lpwstr/>
      </vt:variant>
      <vt:variant>
        <vt:lpwstr>_Toc34225678</vt:lpwstr>
      </vt:variant>
      <vt:variant>
        <vt:i4>1048627</vt:i4>
      </vt:variant>
      <vt:variant>
        <vt:i4>50</vt:i4>
      </vt:variant>
      <vt:variant>
        <vt:i4>0</vt:i4>
      </vt:variant>
      <vt:variant>
        <vt:i4>5</vt:i4>
      </vt:variant>
      <vt:variant>
        <vt:lpwstr/>
      </vt:variant>
      <vt:variant>
        <vt:lpwstr>_Toc34225677</vt:lpwstr>
      </vt:variant>
      <vt:variant>
        <vt:i4>1114163</vt:i4>
      </vt:variant>
      <vt:variant>
        <vt:i4>44</vt:i4>
      </vt:variant>
      <vt:variant>
        <vt:i4>0</vt:i4>
      </vt:variant>
      <vt:variant>
        <vt:i4>5</vt:i4>
      </vt:variant>
      <vt:variant>
        <vt:lpwstr/>
      </vt:variant>
      <vt:variant>
        <vt:lpwstr>_Toc34225676</vt:lpwstr>
      </vt:variant>
      <vt:variant>
        <vt:i4>1179699</vt:i4>
      </vt:variant>
      <vt:variant>
        <vt:i4>38</vt:i4>
      </vt:variant>
      <vt:variant>
        <vt:i4>0</vt:i4>
      </vt:variant>
      <vt:variant>
        <vt:i4>5</vt:i4>
      </vt:variant>
      <vt:variant>
        <vt:lpwstr/>
      </vt:variant>
      <vt:variant>
        <vt:lpwstr>_Toc34225675</vt:lpwstr>
      </vt:variant>
      <vt:variant>
        <vt:i4>1245235</vt:i4>
      </vt:variant>
      <vt:variant>
        <vt:i4>32</vt:i4>
      </vt:variant>
      <vt:variant>
        <vt:i4>0</vt:i4>
      </vt:variant>
      <vt:variant>
        <vt:i4>5</vt:i4>
      </vt:variant>
      <vt:variant>
        <vt:lpwstr/>
      </vt:variant>
      <vt:variant>
        <vt:lpwstr>_Toc34225674</vt:lpwstr>
      </vt:variant>
      <vt:variant>
        <vt:i4>1310771</vt:i4>
      </vt:variant>
      <vt:variant>
        <vt:i4>26</vt:i4>
      </vt:variant>
      <vt:variant>
        <vt:i4>0</vt:i4>
      </vt:variant>
      <vt:variant>
        <vt:i4>5</vt:i4>
      </vt:variant>
      <vt:variant>
        <vt:lpwstr/>
      </vt:variant>
      <vt:variant>
        <vt:lpwstr>_Toc34225673</vt:lpwstr>
      </vt:variant>
      <vt:variant>
        <vt:i4>1376307</vt:i4>
      </vt:variant>
      <vt:variant>
        <vt:i4>20</vt:i4>
      </vt:variant>
      <vt:variant>
        <vt:i4>0</vt:i4>
      </vt:variant>
      <vt:variant>
        <vt:i4>5</vt:i4>
      </vt:variant>
      <vt:variant>
        <vt:lpwstr/>
      </vt:variant>
      <vt:variant>
        <vt:lpwstr>_Toc34225672</vt:lpwstr>
      </vt:variant>
      <vt:variant>
        <vt:i4>1441843</vt:i4>
      </vt:variant>
      <vt:variant>
        <vt:i4>14</vt:i4>
      </vt:variant>
      <vt:variant>
        <vt:i4>0</vt:i4>
      </vt:variant>
      <vt:variant>
        <vt:i4>5</vt:i4>
      </vt:variant>
      <vt:variant>
        <vt:lpwstr/>
      </vt:variant>
      <vt:variant>
        <vt:lpwstr>_Toc34225671</vt:lpwstr>
      </vt:variant>
      <vt:variant>
        <vt:i4>1507379</vt:i4>
      </vt:variant>
      <vt:variant>
        <vt:i4>8</vt:i4>
      </vt:variant>
      <vt:variant>
        <vt:i4>0</vt:i4>
      </vt:variant>
      <vt:variant>
        <vt:i4>5</vt:i4>
      </vt:variant>
      <vt:variant>
        <vt:lpwstr/>
      </vt:variant>
      <vt:variant>
        <vt:lpwstr>_Toc34225670</vt:lpwstr>
      </vt:variant>
      <vt:variant>
        <vt:i4>1966130</vt:i4>
      </vt:variant>
      <vt:variant>
        <vt:i4>2</vt:i4>
      </vt:variant>
      <vt:variant>
        <vt:i4>0</vt:i4>
      </vt:variant>
      <vt:variant>
        <vt:i4>5</vt:i4>
      </vt:variant>
      <vt:variant>
        <vt:lpwstr/>
      </vt:variant>
      <vt:variant>
        <vt:lpwstr>_Toc34225669</vt:lpwstr>
      </vt:variant>
      <vt:variant>
        <vt:i4>721012</vt:i4>
      </vt:variant>
      <vt:variant>
        <vt:i4>3</vt:i4>
      </vt:variant>
      <vt:variant>
        <vt:i4>0</vt:i4>
      </vt:variant>
      <vt:variant>
        <vt:i4>5</vt:i4>
      </vt:variant>
      <vt:variant>
        <vt:lpwstr>mailto:ova@arena-vitkovice.cz</vt:lpwstr>
      </vt:variant>
      <vt:variant>
        <vt:lpwstr/>
      </vt:variant>
      <vt:variant>
        <vt:i4>7667765</vt:i4>
      </vt:variant>
      <vt:variant>
        <vt:i4>0</vt:i4>
      </vt:variant>
      <vt:variant>
        <vt:i4>0</vt:i4>
      </vt:variant>
      <vt:variant>
        <vt:i4>5</vt:i4>
      </vt:variant>
      <vt:variant>
        <vt:lpwstr>http://www.vitkovice-arena.cz/gdpr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Organizační řád</dc:subject>
  <dc:creator>HP</dc:creator>
  <cp:lastModifiedBy>Malimánková Veronika</cp:lastModifiedBy>
  <cp:revision>5</cp:revision>
  <cp:lastPrinted>2020-03-10T08:36:00Z</cp:lastPrinted>
  <dcterms:created xsi:type="dcterms:W3CDTF">2020-06-03T07:10:00Z</dcterms:created>
  <dcterms:modified xsi:type="dcterms:W3CDTF">2020-08-11T07:43:00Z</dcterms:modified>
</cp:coreProperties>
</file>